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7BD67">
      <w:pPr>
        <w:spacing w:line="242" w:lineRule="auto"/>
        <w:rPr>
          <w:rFonts w:ascii="Arial"/>
          <w:sz w:val="21"/>
        </w:rPr>
      </w:pPr>
    </w:p>
    <w:p w14:paraId="187EE55A">
      <w:pPr>
        <w:spacing w:line="242" w:lineRule="auto"/>
        <w:rPr>
          <w:rFonts w:ascii="Arial"/>
          <w:sz w:val="21"/>
        </w:rPr>
      </w:pPr>
    </w:p>
    <w:p w14:paraId="3BC09744">
      <w:pPr>
        <w:spacing w:line="242" w:lineRule="auto"/>
        <w:rPr>
          <w:rFonts w:ascii="Arial"/>
          <w:sz w:val="21"/>
        </w:rPr>
      </w:pPr>
    </w:p>
    <w:p w14:paraId="7AD9EA11">
      <w:pPr>
        <w:spacing w:line="242" w:lineRule="auto"/>
        <w:rPr>
          <w:rFonts w:ascii="Arial"/>
          <w:sz w:val="21"/>
        </w:rPr>
      </w:pPr>
    </w:p>
    <w:p w14:paraId="3B4D3BCC">
      <w:pPr>
        <w:spacing w:line="242" w:lineRule="auto"/>
        <w:rPr>
          <w:rFonts w:ascii="Arial"/>
          <w:sz w:val="21"/>
        </w:rPr>
      </w:pPr>
    </w:p>
    <w:p w14:paraId="2A3DC10C">
      <w:pPr>
        <w:spacing w:line="242" w:lineRule="auto"/>
        <w:rPr>
          <w:rFonts w:ascii="Arial"/>
          <w:sz w:val="21"/>
        </w:rPr>
      </w:pPr>
    </w:p>
    <w:p w14:paraId="509AE4E4">
      <w:pPr>
        <w:spacing w:line="242" w:lineRule="auto"/>
        <w:rPr>
          <w:rFonts w:ascii="Arial"/>
          <w:sz w:val="21"/>
        </w:rPr>
      </w:pPr>
    </w:p>
    <w:p w14:paraId="45AF377F">
      <w:pPr>
        <w:spacing w:line="242" w:lineRule="auto"/>
        <w:rPr>
          <w:rFonts w:ascii="Arial"/>
          <w:sz w:val="21"/>
        </w:rPr>
      </w:pPr>
    </w:p>
    <w:p w14:paraId="622D56C5">
      <w:pPr>
        <w:spacing w:line="243" w:lineRule="auto"/>
        <w:rPr>
          <w:rFonts w:ascii="Arial"/>
          <w:sz w:val="21"/>
        </w:rPr>
      </w:pPr>
    </w:p>
    <w:p w14:paraId="41EBDBCD">
      <w:pPr>
        <w:spacing w:line="243" w:lineRule="auto"/>
        <w:rPr>
          <w:rFonts w:ascii="Arial"/>
          <w:sz w:val="21"/>
        </w:rPr>
      </w:pPr>
    </w:p>
    <w:p w14:paraId="36DA3E97">
      <w:pPr>
        <w:spacing w:line="245" w:lineRule="auto"/>
        <w:rPr>
          <w:rFonts w:ascii="Arial"/>
          <w:sz w:val="21"/>
        </w:rPr>
      </w:pPr>
    </w:p>
    <w:p w14:paraId="6C8940DB">
      <w:pPr>
        <w:spacing w:line="245" w:lineRule="auto"/>
        <w:rPr>
          <w:rFonts w:ascii="Arial"/>
          <w:sz w:val="21"/>
        </w:rPr>
      </w:pPr>
    </w:p>
    <w:p w14:paraId="0E69A786">
      <w:pPr>
        <w:pStyle w:val="2"/>
        <w:spacing w:before="104" w:line="317" w:lineRule="auto"/>
        <w:ind w:left="319" w:right="503"/>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405050"/>
          <w:spacing w:val="-2"/>
          <w:sz w:val="32"/>
          <w:szCs w:val="32"/>
        </w:rPr>
        <w:t>吉忽伦图苏木党委、政府，五当召镇党委、政府，各街道党</w:t>
      </w:r>
      <w:r>
        <w:rPr>
          <w:rFonts w:hint="eastAsia" w:ascii="仿宋_GB2312" w:hAnsi="仿宋_GB2312" w:eastAsia="仿宋_GB2312" w:cs="仿宋_GB2312"/>
          <w:b w:val="0"/>
          <w:bCs w:val="0"/>
          <w:color w:val="405050"/>
          <w:spacing w:val="17"/>
          <w:sz w:val="32"/>
          <w:szCs w:val="32"/>
        </w:rPr>
        <w:t xml:space="preserve"> </w:t>
      </w:r>
      <w:r>
        <w:rPr>
          <w:rFonts w:hint="eastAsia" w:ascii="仿宋_GB2312" w:hAnsi="仿宋_GB2312" w:eastAsia="仿宋_GB2312" w:cs="仿宋_GB2312"/>
          <w:b w:val="0"/>
          <w:bCs w:val="0"/>
          <w:color w:val="405050"/>
          <w:spacing w:val="-1"/>
          <w:sz w:val="32"/>
          <w:szCs w:val="32"/>
        </w:rPr>
        <w:t>工委、办事处，各园区党组织、管委会，区委各部门</w:t>
      </w:r>
      <w:bookmarkStart w:id="87" w:name="_GoBack"/>
      <w:bookmarkEnd w:id="87"/>
      <w:r>
        <w:rPr>
          <w:rFonts w:hint="eastAsia" w:ascii="仿宋_GB2312" w:hAnsi="仿宋_GB2312" w:eastAsia="仿宋_GB2312" w:cs="仿宋_GB2312"/>
          <w:b w:val="0"/>
          <w:bCs w:val="0"/>
          <w:color w:val="405050"/>
          <w:spacing w:val="-1"/>
          <w:sz w:val="32"/>
          <w:szCs w:val="32"/>
        </w:rPr>
        <w:t>，</w:t>
      </w:r>
      <w:r>
        <w:rPr>
          <w:rFonts w:hint="eastAsia" w:ascii="仿宋_GB2312" w:hAnsi="仿宋_GB2312" w:eastAsia="仿宋_GB2312" w:cs="仿宋_GB2312"/>
          <w:b w:val="0"/>
          <w:bCs w:val="0"/>
          <w:color w:val="607070"/>
          <w:spacing w:val="-1"/>
          <w:sz w:val="32"/>
          <w:szCs w:val="32"/>
        </w:rPr>
        <w:t>区直</w:t>
      </w:r>
      <w:r>
        <w:rPr>
          <w:rFonts w:hint="eastAsia" w:ascii="仿宋_GB2312" w:hAnsi="仿宋_GB2312" w:eastAsia="仿宋_GB2312" w:cs="仿宋_GB2312"/>
          <w:b w:val="0"/>
          <w:bCs w:val="0"/>
          <w:color w:val="607070"/>
          <w:spacing w:val="11"/>
          <w:sz w:val="32"/>
          <w:szCs w:val="32"/>
        </w:rPr>
        <w:t xml:space="preserve"> </w:t>
      </w:r>
      <w:r>
        <w:rPr>
          <w:rFonts w:hint="eastAsia" w:ascii="仿宋_GB2312" w:hAnsi="仿宋_GB2312" w:eastAsia="仿宋_GB2312" w:cs="仿宋_GB2312"/>
          <w:b w:val="0"/>
          <w:bCs w:val="0"/>
          <w:color w:val="405050"/>
          <w:spacing w:val="-3"/>
          <w:sz w:val="32"/>
          <w:szCs w:val="32"/>
        </w:rPr>
        <w:t>各机关、事业单位，各人民团体，驻区各单位：</w:t>
      </w:r>
    </w:p>
    <w:p w14:paraId="6F119DBA">
      <w:pPr>
        <w:pStyle w:val="2"/>
        <w:spacing w:before="23" w:line="310" w:lineRule="auto"/>
        <w:ind w:left="319" w:right="483" w:firstLine="68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607070"/>
          <w:spacing w:val="-12"/>
          <w:sz w:val="32"/>
          <w:szCs w:val="32"/>
        </w:rPr>
        <w:t>经区政府同意，</w:t>
      </w:r>
      <w:r>
        <w:rPr>
          <w:rFonts w:hint="eastAsia" w:ascii="仿宋_GB2312" w:hAnsi="仿宋_GB2312" w:eastAsia="仿宋_GB2312" w:cs="仿宋_GB2312"/>
          <w:b w:val="0"/>
          <w:bCs w:val="0"/>
          <w:color w:val="405050"/>
          <w:spacing w:val="-12"/>
          <w:sz w:val="32"/>
          <w:szCs w:val="32"/>
        </w:rPr>
        <w:t>现将《包头市石拐区集中式饮用水水源</w:t>
      </w:r>
      <w:r>
        <w:rPr>
          <w:rFonts w:hint="eastAsia" w:ascii="仿宋_GB2312" w:hAnsi="仿宋_GB2312" w:eastAsia="仿宋_GB2312" w:cs="仿宋_GB2312"/>
          <w:b w:val="0"/>
          <w:bCs w:val="0"/>
          <w:color w:val="405050"/>
          <w:spacing w:val="13"/>
          <w:sz w:val="32"/>
          <w:szCs w:val="32"/>
        </w:rPr>
        <w:t xml:space="preserve"> </w:t>
      </w:r>
      <w:r>
        <w:rPr>
          <w:rFonts w:hint="eastAsia" w:ascii="仿宋_GB2312" w:hAnsi="仿宋_GB2312" w:eastAsia="仿宋_GB2312" w:cs="仿宋_GB2312"/>
          <w:b w:val="0"/>
          <w:bCs w:val="0"/>
          <w:color w:val="405050"/>
          <w:spacing w:val="-10"/>
          <w:sz w:val="32"/>
          <w:szCs w:val="32"/>
        </w:rPr>
        <w:t>地突发环境事件应急预案》印发给你们，请结合实际，</w:t>
      </w:r>
      <w:r>
        <w:rPr>
          <w:rFonts w:hint="eastAsia" w:ascii="仿宋_GB2312" w:hAnsi="仿宋_GB2312" w:eastAsia="仿宋_GB2312" w:cs="仿宋_GB2312"/>
          <w:b w:val="0"/>
          <w:bCs w:val="0"/>
          <w:color w:val="405050"/>
          <w:spacing w:val="-11"/>
          <w:sz w:val="32"/>
          <w:szCs w:val="32"/>
        </w:rPr>
        <w:t>认真</w:t>
      </w:r>
      <w:r>
        <w:rPr>
          <w:rFonts w:hint="eastAsia" w:ascii="仿宋_GB2312" w:hAnsi="仿宋_GB2312" w:eastAsia="仿宋_GB2312" w:cs="仿宋_GB2312"/>
          <w:b w:val="0"/>
          <w:bCs w:val="0"/>
          <w:color w:val="405050"/>
          <w:sz w:val="32"/>
          <w:szCs w:val="32"/>
        </w:rPr>
        <w:t xml:space="preserve"> </w:t>
      </w:r>
      <w:r>
        <w:rPr>
          <w:rFonts w:hint="eastAsia" w:ascii="仿宋_GB2312" w:hAnsi="仿宋_GB2312" w:eastAsia="仿宋_GB2312" w:cs="仿宋_GB2312"/>
          <w:b w:val="0"/>
          <w:bCs w:val="0"/>
          <w:color w:val="405050"/>
          <w:spacing w:val="-19"/>
          <w:sz w:val="32"/>
          <w:szCs w:val="32"/>
        </w:rPr>
        <w:t>贯彻执行。</w:t>
      </w:r>
    </w:p>
    <w:p w14:paraId="03532ABB">
      <w:pPr>
        <w:spacing w:line="408" w:lineRule="auto"/>
        <w:rPr>
          <w:rFonts w:hint="eastAsia" w:ascii="仿宋_GB2312" w:hAnsi="仿宋_GB2312" w:eastAsia="仿宋_GB2312" w:cs="仿宋_GB2312"/>
          <w:b w:val="0"/>
          <w:bCs w:val="0"/>
          <w:sz w:val="32"/>
          <w:szCs w:val="32"/>
        </w:rPr>
      </w:pPr>
    </w:p>
    <w:p w14:paraId="168DE29A">
      <w:pPr>
        <w:pStyle w:val="2"/>
        <w:spacing w:before="108" w:line="222" w:lineRule="auto"/>
        <w:ind w:left="364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405050"/>
          <w:spacing w:val="-10"/>
          <w:sz w:val="32"/>
          <w:szCs w:val="32"/>
        </w:rPr>
        <w:t>包头市石拐区人民政府办公室</w:t>
      </w:r>
    </w:p>
    <w:p w14:paraId="18C64533">
      <w:pPr>
        <w:pStyle w:val="2"/>
        <w:spacing w:before="103" w:line="222" w:lineRule="auto"/>
        <w:ind w:left="4630"/>
      </w:pPr>
      <w:r>
        <w:rPr>
          <w:rFonts w:hint="eastAsia" w:ascii="仿宋_GB2312" w:hAnsi="仿宋_GB2312" w:eastAsia="仿宋_GB2312" w:cs="仿宋_GB2312"/>
          <w:b w:val="0"/>
          <w:bCs w:val="0"/>
          <w:color w:val="405050"/>
          <w:spacing w:val="31"/>
          <w:sz w:val="32"/>
          <w:szCs w:val="32"/>
        </w:rPr>
        <w:t>2021年3月17日</w:t>
      </w:r>
    </w:p>
    <w:p w14:paraId="020000E2">
      <w:pPr>
        <w:spacing w:line="222" w:lineRule="auto"/>
        <w:sectPr>
          <w:pgSz w:w="11910" w:h="16850"/>
          <w:pgMar w:top="1432" w:right="1339" w:bottom="0" w:left="1440" w:header="0" w:footer="0" w:gutter="0"/>
          <w:cols w:space="720" w:num="1"/>
        </w:sectPr>
      </w:pPr>
    </w:p>
    <w:p w14:paraId="52556C8E">
      <w:pPr>
        <w:spacing w:line="70" w:lineRule="exact"/>
        <w:ind w:firstLine="9463"/>
      </w:pPr>
      <w:r>
        <w:rPr>
          <w:position w:val="-1"/>
        </w:rPr>
        <w:drawing>
          <wp:inline distT="0" distB="0" distL="0" distR="0">
            <wp:extent cx="44450" cy="444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0"/>
                    <a:stretch>
                      <a:fillRect/>
                    </a:stretch>
                  </pic:blipFill>
                  <pic:spPr>
                    <a:xfrm>
                      <a:off x="0" y="0"/>
                      <a:ext cx="44469" cy="44511"/>
                    </a:xfrm>
                    <a:prstGeom prst="rect">
                      <a:avLst/>
                    </a:prstGeom>
                  </pic:spPr>
                </pic:pic>
              </a:graphicData>
            </a:graphic>
          </wp:inline>
        </w:drawing>
      </w:r>
    </w:p>
    <w:p w14:paraId="58584E47">
      <w:pPr>
        <w:spacing w:line="70" w:lineRule="exact"/>
        <w:sectPr>
          <w:pgSz w:w="11910" w:h="16850"/>
          <w:pgMar w:top="1039" w:right="590" w:bottom="0" w:left="1786" w:header="0" w:footer="0" w:gutter="0"/>
          <w:cols w:space="720" w:num="1"/>
        </w:sectPr>
      </w:pPr>
    </w:p>
    <w:p w14:paraId="65AB58E4">
      <w:pPr>
        <w:spacing w:line="260" w:lineRule="auto"/>
        <w:rPr>
          <w:rFonts w:ascii="Arial"/>
          <w:sz w:val="21"/>
        </w:rPr>
      </w:pPr>
    </w:p>
    <w:p w14:paraId="16252DF5">
      <w:pPr>
        <w:spacing w:line="260" w:lineRule="auto"/>
        <w:rPr>
          <w:rFonts w:ascii="Arial"/>
          <w:sz w:val="21"/>
        </w:rPr>
      </w:pPr>
    </w:p>
    <w:p w14:paraId="71999F03">
      <w:pPr>
        <w:spacing w:line="260" w:lineRule="auto"/>
        <w:rPr>
          <w:rFonts w:ascii="Arial"/>
          <w:sz w:val="21"/>
        </w:rPr>
      </w:pPr>
    </w:p>
    <w:p w14:paraId="041F9C47">
      <w:pPr>
        <w:spacing w:line="260" w:lineRule="auto"/>
        <w:rPr>
          <w:rFonts w:ascii="Arial"/>
          <w:sz w:val="21"/>
        </w:rPr>
      </w:pPr>
    </w:p>
    <w:p w14:paraId="6E6EF762">
      <w:pPr>
        <w:spacing w:line="260" w:lineRule="auto"/>
        <w:rPr>
          <w:rFonts w:ascii="Arial"/>
          <w:sz w:val="21"/>
        </w:rPr>
      </w:pPr>
    </w:p>
    <w:p w14:paraId="686C3FC3">
      <w:pPr>
        <w:spacing w:line="260" w:lineRule="auto"/>
        <w:rPr>
          <w:rFonts w:ascii="Arial"/>
          <w:sz w:val="21"/>
        </w:rPr>
      </w:pPr>
    </w:p>
    <w:p w14:paraId="3612AB6B">
      <w:pPr>
        <w:spacing w:line="261" w:lineRule="auto"/>
        <w:rPr>
          <w:rFonts w:ascii="Arial"/>
          <w:sz w:val="21"/>
        </w:rPr>
      </w:pPr>
    </w:p>
    <w:p w14:paraId="1211F1FF">
      <w:pPr>
        <w:spacing w:line="261" w:lineRule="auto"/>
        <w:rPr>
          <w:rFonts w:ascii="Arial"/>
          <w:sz w:val="21"/>
        </w:rPr>
      </w:pPr>
    </w:p>
    <w:p w14:paraId="3CE517AE">
      <w:pPr>
        <w:spacing w:line="261" w:lineRule="auto"/>
        <w:rPr>
          <w:rFonts w:ascii="Arial"/>
          <w:sz w:val="21"/>
        </w:rPr>
      </w:pPr>
    </w:p>
    <w:p w14:paraId="0D663FF7">
      <w:pPr>
        <w:spacing w:line="261" w:lineRule="auto"/>
        <w:rPr>
          <w:rFonts w:ascii="Arial"/>
          <w:sz w:val="21"/>
        </w:rPr>
      </w:pPr>
    </w:p>
    <w:p w14:paraId="7AF7E38F">
      <w:pPr>
        <w:spacing w:before="169" w:line="226" w:lineRule="auto"/>
        <w:ind w:left="1709" w:right="641" w:hanging="1229"/>
        <w:rPr>
          <w:rFonts w:ascii="宋体" w:hAnsi="宋体" w:eastAsia="宋体" w:cs="宋体"/>
          <w:sz w:val="52"/>
          <w:szCs w:val="52"/>
        </w:rPr>
      </w:pPr>
      <w:r>
        <w:rPr>
          <w:rFonts w:ascii="宋体" w:hAnsi="宋体" w:eastAsia="宋体" w:cs="宋体"/>
          <w:b/>
          <w:bCs/>
          <w:color w:val="606060"/>
          <w:spacing w:val="-45"/>
          <w:sz w:val="52"/>
          <w:szCs w:val="52"/>
        </w:rPr>
        <w:t>包头市石拐区集中式饮用水水源地</w:t>
      </w:r>
      <w:r>
        <w:rPr>
          <w:rFonts w:ascii="宋体" w:hAnsi="宋体" w:eastAsia="宋体" w:cs="宋体"/>
          <w:color w:val="606060"/>
          <w:spacing w:val="7"/>
          <w:sz w:val="52"/>
          <w:szCs w:val="52"/>
        </w:rPr>
        <w:t xml:space="preserve"> </w:t>
      </w:r>
      <w:r>
        <w:rPr>
          <w:rFonts w:ascii="宋体" w:hAnsi="宋体" w:eastAsia="宋体" w:cs="宋体"/>
          <w:b/>
          <w:bCs/>
          <w:color w:val="606060"/>
          <w:spacing w:val="-44"/>
          <w:sz w:val="52"/>
          <w:szCs w:val="52"/>
        </w:rPr>
        <w:t>突发环境事件应急预案</w:t>
      </w:r>
    </w:p>
    <w:p w14:paraId="024B74B3">
      <w:pPr>
        <w:spacing w:line="242" w:lineRule="auto"/>
        <w:rPr>
          <w:rFonts w:ascii="Arial"/>
          <w:sz w:val="21"/>
        </w:rPr>
      </w:pPr>
    </w:p>
    <w:p w14:paraId="6D87ED2A">
      <w:pPr>
        <w:spacing w:line="242" w:lineRule="auto"/>
        <w:rPr>
          <w:rFonts w:ascii="Arial"/>
          <w:sz w:val="21"/>
        </w:rPr>
      </w:pPr>
    </w:p>
    <w:p w14:paraId="7429137E">
      <w:pPr>
        <w:spacing w:line="242" w:lineRule="auto"/>
        <w:rPr>
          <w:rFonts w:ascii="Arial"/>
          <w:sz w:val="21"/>
        </w:rPr>
      </w:pPr>
    </w:p>
    <w:p w14:paraId="41467F77">
      <w:pPr>
        <w:spacing w:line="242" w:lineRule="auto"/>
        <w:rPr>
          <w:rFonts w:ascii="Arial"/>
          <w:sz w:val="21"/>
        </w:rPr>
      </w:pPr>
    </w:p>
    <w:p w14:paraId="38DABD44">
      <w:pPr>
        <w:spacing w:line="242" w:lineRule="auto"/>
        <w:rPr>
          <w:rFonts w:ascii="Arial"/>
          <w:sz w:val="21"/>
        </w:rPr>
      </w:pPr>
    </w:p>
    <w:p w14:paraId="623C6BDC">
      <w:pPr>
        <w:spacing w:line="242" w:lineRule="auto"/>
        <w:rPr>
          <w:rFonts w:ascii="Arial"/>
          <w:sz w:val="21"/>
        </w:rPr>
      </w:pPr>
    </w:p>
    <w:p w14:paraId="73CE5F56">
      <w:pPr>
        <w:spacing w:line="242" w:lineRule="auto"/>
        <w:rPr>
          <w:rFonts w:ascii="Arial"/>
          <w:sz w:val="21"/>
        </w:rPr>
      </w:pPr>
    </w:p>
    <w:p w14:paraId="7AD1A4DA">
      <w:pPr>
        <w:spacing w:line="242" w:lineRule="auto"/>
        <w:rPr>
          <w:rFonts w:ascii="Arial"/>
          <w:sz w:val="21"/>
        </w:rPr>
      </w:pPr>
    </w:p>
    <w:p w14:paraId="7E9C97DE">
      <w:pPr>
        <w:spacing w:line="242" w:lineRule="auto"/>
        <w:rPr>
          <w:rFonts w:ascii="Arial"/>
          <w:sz w:val="21"/>
        </w:rPr>
      </w:pPr>
    </w:p>
    <w:p w14:paraId="4011D607">
      <w:pPr>
        <w:spacing w:line="242" w:lineRule="auto"/>
        <w:rPr>
          <w:rFonts w:ascii="Arial"/>
          <w:sz w:val="21"/>
        </w:rPr>
      </w:pPr>
    </w:p>
    <w:p w14:paraId="6D8F8F5C">
      <w:pPr>
        <w:spacing w:line="242" w:lineRule="auto"/>
        <w:rPr>
          <w:rFonts w:ascii="Arial"/>
          <w:sz w:val="21"/>
        </w:rPr>
      </w:pPr>
    </w:p>
    <w:p w14:paraId="0A41164F">
      <w:pPr>
        <w:spacing w:line="242" w:lineRule="auto"/>
        <w:rPr>
          <w:rFonts w:ascii="Arial"/>
          <w:sz w:val="21"/>
        </w:rPr>
      </w:pPr>
    </w:p>
    <w:p w14:paraId="6C948741">
      <w:pPr>
        <w:spacing w:line="242" w:lineRule="auto"/>
        <w:rPr>
          <w:rFonts w:ascii="Arial"/>
          <w:sz w:val="21"/>
        </w:rPr>
      </w:pPr>
    </w:p>
    <w:p w14:paraId="0EED724F">
      <w:pPr>
        <w:spacing w:line="242" w:lineRule="auto"/>
        <w:rPr>
          <w:rFonts w:ascii="Arial"/>
          <w:sz w:val="21"/>
        </w:rPr>
      </w:pPr>
    </w:p>
    <w:p w14:paraId="0C989785">
      <w:pPr>
        <w:spacing w:line="242" w:lineRule="auto"/>
        <w:rPr>
          <w:rFonts w:ascii="Arial"/>
          <w:sz w:val="21"/>
        </w:rPr>
      </w:pPr>
    </w:p>
    <w:p w14:paraId="6FB3C65C">
      <w:pPr>
        <w:spacing w:line="242" w:lineRule="auto"/>
        <w:rPr>
          <w:rFonts w:ascii="Arial"/>
          <w:sz w:val="21"/>
        </w:rPr>
      </w:pPr>
    </w:p>
    <w:p w14:paraId="78BEA59C">
      <w:pPr>
        <w:spacing w:line="242" w:lineRule="auto"/>
        <w:rPr>
          <w:rFonts w:ascii="Arial"/>
          <w:sz w:val="21"/>
        </w:rPr>
      </w:pPr>
    </w:p>
    <w:p w14:paraId="57601411">
      <w:pPr>
        <w:spacing w:line="242" w:lineRule="auto"/>
        <w:rPr>
          <w:rFonts w:ascii="Arial"/>
          <w:sz w:val="21"/>
        </w:rPr>
      </w:pPr>
    </w:p>
    <w:p w14:paraId="3621EC83">
      <w:pPr>
        <w:spacing w:line="242" w:lineRule="auto"/>
        <w:rPr>
          <w:rFonts w:ascii="Arial"/>
          <w:sz w:val="21"/>
        </w:rPr>
      </w:pPr>
    </w:p>
    <w:p w14:paraId="4DE2E071">
      <w:pPr>
        <w:spacing w:line="242" w:lineRule="auto"/>
        <w:rPr>
          <w:rFonts w:ascii="Arial"/>
          <w:sz w:val="21"/>
        </w:rPr>
      </w:pPr>
    </w:p>
    <w:p w14:paraId="4C4219FB">
      <w:pPr>
        <w:spacing w:line="242" w:lineRule="auto"/>
        <w:rPr>
          <w:rFonts w:ascii="Arial"/>
          <w:sz w:val="21"/>
        </w:rPr>
      </w:pPr>
    </w:p>
    <w:p w14:paraId="48906589">
      <w:pPr>
        <w:spacing w:line="242" w:lineRule="auto"/>
        <w:rPr>
          <w:rFonts w:ascii="Arial"/>
          <w:sz w:val="21"/>
        </w:rPr>
      </w:pPr>
    </w:p>
    <w:p w14:paraId="4AE90ACA">
      <w:pPr>
        <w:spacing w:line="242" w:lineRule="auto"/>
        <w:rPr>
          <w:rFonts w:ascii="Arial"/>
          <w:sz w:val="21"/>
        </w:rPr>
      </w:pPr>
    </w:p>
    <w:p w14:paraId="2FEACCFD">
      <w:pPr>
        <w:spacing w:line="242" w:lineRule="auto"/>
        <w:rPr>
          <w:rFonts w:ascii="Arial"/>
          <w:sz w:val="21"/>
        </w:rPr>
      </w:pPr>
    </w:p>
    <w:p w14:paraId="549EE56E">
      <w:pPr>
        <w:spacing w:line="242" w:lineRule="auto"/>
        <w:rPr>
          <w:rFonts w:ascii="Arial"/>
          <w:sz w:val="21"/>
        </w:rPr>
      </w:pPr>
    </w:p>
    <w:p w14:paraId="14508DE6">
      <w:pPr>
        <w:spacing w:line="242" w:lineRule="auto"/>
        <w:rPr>
          <w:rFonts w:ascii="Arial"/>
          <w:sz w:val="21"/>
        </w:rPr>
      </w:pPr>
    </w:p>
    <w:p w14:paraId="2317EEC2">
      <w:pPr>
        <w:spacing w:line="242" w:lineRule="auto"/>
        <w:rPr>
          <w:rFonts w:ascii="Arial"/>
          <w:sz w:val="21"/>
        </w:rPr>
      </w:pPr>
    </w:p>
    <w:p w14:paraId="686FC831">
      <w:pPr>
        <w:spacing w:line="243" w:lineRule="auto"/>
        <w:rPr>
          <w:rFonts w:ascii="Arial"/>
          <w:sz w:val="21"/>
        </w:rPr>
      </w:pPr>
    </w:p>
    <w:p w14:paraId="253E0630">
      <w:pPr>
        <w:spacing w:line="243" w:lineRule="auto"/>
        <w:rPr>
          <w:rFonts w:ascii="Arial"/>
          <w:sz w:val="21"/>
        </w:rPr>
      </w:pPr>
    </w:p>
    <w:p w14:paraId="0241E59D">
      <w:pPr>
        <w:spacing w:line="243" w:lineRule="auto"/>
        <w:rPr>
          <w:rFonts w:ascii="Arial"/>
          <w:sz w:val="21"/>
        </w:rPr>
      </w:pPr>
    </w:p>
    <w:p w14:paraId="6156BB94">
      <w:pPr>
        <w:spacing w:line="243" w:lineRule="auto"/>
        <w:rPr>
          <w:rFonts w:ascii="Arial"/>
          <w:sz w:val="21"/>
        </w:rPr>
      </w:pPr>
    </w:p>
    <w:p w14:paraId="3DCAD734">
      <w:pPr>
        <w:spacing w:line="243" w:lineRule="auto"/>
        <w:rPr>
          <w:rFonts w:ascii="Arial"/>
          <w:sz w:val="21"/>
        </w:rPr>
      </w:pPr>
    </w:p>
    <w:p w14:paraId="52D902C1">
      <w:pPr>
        <w:spacing w:line="243" w:lineRule="auto"/>
        <w:rPr>
          <w:rFonts w:ascii="Arial"/>
          <w:sz w:val="21"/>
        </w:rPr>
      </w:pPr>
    </w:p>
    <w:p w14:paraId="31C8DCA0">
      <w:pPr>
        <w:spacing w:line="243" w:lineRule="auto"/>
        <w:rPr>
          <w:rFonts w:ascii="Arial"/>
          <w:sz w:val="21"/>
        </w:rPr>
      </w:pPr>
    </w:p>
    <w:p w14:paraId="3DB14E13">
      <w:pPr>
        <w:spacing w:line="243" w:lineRule="auto"/>
        <w:rPr>
          <w:rFonts w:ascii="Arial"/>
          <w:sz w:val="21"/>
        </w:rPr>
      </w:pPr>
    </w:p>
    <w:p w14:paraId="4B43201B">
      <w:pPr>
        <w:spacing w:before="101" w:line="219" w:lineRule="auto"/>
        <w:ind w:left="2707"/>
        <w:rPr>
          <w:rFonts w:ascii="宋体" w:hAnsi="宋体" w:eastAsia="宋体" w:cs="宋体"/>
          <w:sz w:val="31"/>
          <w:szCs w:val="31"/>
        </w:rPr>
      </w:pPr>
      <w:r>
        <w:rPr>
          <w:rFonts w:ascii="宋体" w:hAnsi="宋体" w:eastAsia="宋体" w:cs="宋体"/>
          <w:b/>
          <w:bCs/>
          <w:color w:val="606060"/>
          <w:spacing w:val="-30"/>
          <w:sz w:val="31"/>
          <w:szCs w:val="31"/>
        </w:rPr>
        <w:t>包头市石拐区人民政府</w:t>
      </w:r>
    </w:p>
    <w:p w14:paraId="4F0B83F5">
      <w:pPr>
        <w:spacing w:before="268" w:line="219" w:lineRule="auto"/>
        <w:ind w:left="2973"/>
        <w:rPr>
          <w:rFonts w:ascii="宋体" w:hAnsi="宋体" w:eastAsia="宋体" w:cs="宋体"/>
          <w:sz w:val="31"/>
          <w:szCs w:val="31"/>
        </w:rPr>
      </w:pPr>
      <w:r>
        <w:rPr>
          <w:rFonts w:ascii="宋体" w:hAnsi="宋体" w:eastAsia="宋体" w:cs="宋体"/>
          <w:spacing w:val="14"/>
          <w:sz w:val="31"/>
          <w:szCs w:val="31"/>
        </w:rPr>
        <w:t>二0二0年十二月</w:t>
      </w:r>
    </w:p>
    <w:p w14:paraId="38949630">
      <w:pPr>
        <w:spacing w:line="219" w:lineRule="auto"/>
        <w:rPr>
          <w:rFonts w:ascii="宋体" w:hAnsi="宋体" w:eastAsia="宋体" w:cs="宋体"/>
          <w:sz w:val="31"/>
          <w:szCs w:val="31"/>
        </w:rPr>
        <w:sectPr>
          <w:pgSz w:w="11910" w:h="16850"/>
          <w:pgMar w:top="1432" w:right="1786" w:bottom="0" w:left="1786" w:header="0" w:footer="0" w:gutter="0"/>
          <w:cols w:space="720" w:num="1"/>
        </w:sectPr>
      </w:pPr>
    </w:p>
    <w:p w14:paraId="7469AD52">
      <w:pPr>
        <w:spacing w:before="61" w:line="221" w:lineRule="auto"/>
        <w:ind w:left="3904"/>
        <w:rPr>
          <w:rFonts w:ascii="宋体" w:hAnsi="宋体" w:eastAsia="宋体" w:cs="宋体"/>
          <w:sz w:val="31"/>
          <w:szCs w:val="31"/>
        </w:rPr>
      </w:pPr>
      <w:r>
        <w:rPr>
          <w:rFonts w:ascii="宋体" w:hAnsi="宋体" w:eastAsia="宋体" w:cs="宋体"/>
          <w:b/>
          <w:bCs/>
          <w:spacing w:val="-11"/>
          <w:sz w:val="31"/>
          <w:szCs w:val="31"/>
        </w:rPr>
        <w:t>前</w:t>
      </w:r>
      <w:r>
        <w:rPr>
          <w:rFonts w:ascii="宋体" w:hAnsi="宋体" w:eastAsia="宋体" w:cs="宋体"/>
          <w:spacing w:val="-11"/>
          <w:sz w:val="31"/>
          <w:szCs w:val="31"/>
        </w:rPr>
        <w:t>言</w:t>
      </w:r>
    </w:p>
    <w:p w14:paraId="224F92AC">
      <w:pPr>
        <w:spacing w:before="250" w:line="355" w:lineRule="auto"/>
        <w:ind w:right="173" w:firstLine="489"/>
        <w:jc w:val="both"/>
        <w:rPr>
          <w:rFonts w:ascii="宋体" w:hAnsi="宋体" w:eastAsia="宋体" w:cs="宋体"/>
          <w:sz w:val="24"/>
          <w:szCs w:val="24"/>
        </w:rPr>
      </w:pPr>
      <w:r>
        <w:rPr>
          <w:rFonts w:ascii="宋体" w:hAnsi="宋体" w:eastAsia="宋体" w:cs="宋体"/>
          <w:spacing w:val="-1"/>
          <w:sz w:val="24"/>
          <w:szCs w:val="24"/>
        </w:rPr>
        <w:t>水是人类赖以生存和发展最重要的自然资源。在我国经济高速发展的同时，</w:t>
      </w:r>
      <w:r>
        <w:rPr>
          <w:rFonts w:ascii="宋体" w:hAnsi="宋体" w:eastAsia="宋体" w:cs="宋体"/>
          <w:spacing w:val="12"/>
          <w:sz w:val="24"/>
          <w:szCs w:val="24"/>
        </w:rPr>
        <w:t xml:space="preserve"> </w:t>
      </w:r>
      <w:r>
        <w:rPr>
          <w:rFonts w:ascii="宋体" w:hAnsi="宋体" w:eastAsia="宋体" w:cs="宋体"/>
          <w:spacing w:val="-2"/>
          <w:sz w:val="24"/>
          <w:szCs w:val="24"/>
        </w:rPr>
        <w:t>关系人民群众切身利益的饮水安全状况堪忧。饮用水作为一类用途最为重要的水</w:t>
      </w:r>
      <w:r>
        <w:rPr>
          <w:rFonts w:ascii="宋体" w:hAnsi="宋体" w:eastAsia="宋体" w:cs="宋体"/>
          <w:sz w:val="24"/>
          <w:szCs w:val="24"/>
        </w:rPr>
        <w:t xml:space="preserve"> </w:t>
      </w:r>
      <w:r>
        <w:rPr>
          <w:rFonts w:ascii="宋体" w:hAnsi="宋体" w:eastAsia="宋体" w:cs="宋体"/>
          <w:spacing w:val="-2"/>
          <w:sz w:val="24"/>
          <w:szCs w:val="24"/>
        </w:rPr>
        <w:t>资源，目前在水质、水量及资源管理方面存在着诸多问题，饮用水安全已受到严</w:t>
      </w:r>
      <w:r>
        <w:rPr>
          <w:rFonts w:ascii="宋体" w:hAnsi="宋体" w:eastAsia="宋体" w:cs="宋体"/>
          <w:sz w:val="24"/>
          <w:szCs w:val="24"/>
        </w:rPr>
        <w:t xml:space="preserve"> </w:t>
      </w:r>
      <w:r>
        <w:rPr>
          <w:rFonts w:ascii="宋体" w:hAnsi="宋体" w:eastAsia="宋体" w:cs="宋体"/>
          <w:spacing w:val="-2"/>
          <w:sz w:val="24"/>
          <w:szCs w:val="24"/>
        </w:rPr>
        <w:t>重威胁。由于水源地污染而引起的社会问题相当突出，饮用水水源保护问题已成</w:t>
      </w:r>
      <w:r>
        <w:rPr>
          <w:rFonts w:ascii="宋体" w:hAnsi="宋体" w:eastAsia="宋体" w:cs="宋体"/>
          <w:sz w:val="24"/>
          <w:szCs w:val="24"/>
        </w:rPr>
        <w:t xml:space="preserve"> </w:t>
      </w:r>
      <w:r>
        <w:rPr>
          <w:rFonts w:ascii="宋体" w:hAnsi="宋体" w:eastAsia="宋体" w:cs="宋体"/>
          <w:spacing w:val="-2"/>
          <w:sz w:val="24"/>
          <w:szCs w:val="24"/>
        </w:rPr>
        <w:t>为关系国计民生的重大问题。尽管各地对水源地的保护工作都已经开展，并</w:t>
      </w:r>
      <w:r>
        <w:rPr>
          <w:rFonts w:ascii="宋体" w:hAnsi="宋体" w:eastAsia="宋体" w:cs="宋体"/>
          <w:spacing w:val="-3"/>
          <w:sz w:val="24"/>
          <w:szCs w:val="24"/>
        </w:rPr>
        <w:t>取得</w:t>
      </w:r>
      <w:r>
        <w:rPr>
          <w:rFonts w:ascii="宋体" w:hAnsi="宋体" w:eastAsia="宋体" w:cs="宋体"/>
          <w:sz w:val="24"/>
          <w:szCs w:val="24"/>
        </w:rPr>
        <w:t xml:space="preserve"> </w:t>
      </w:r>
      <w:r>
        <w:rPr>
          <w:rFonts w:ascii="宋体" w:hAnsi="宋体" w:eastAsia="宋体" w:cs="宋体"/>
          <w:spacing w:val="-2"/>
          <w:sz w:val="24"/>
          <w:szCs w:val="24"/>
        </w:rPr>
        <w:t>了一定的成效，但由于受地域、经济发展水平和水资源总量的影响，饮用水水源</w:t>
      </w:r>
      <w:r>
        <w:rPr>
          <w:rFonts w:ascii="宋体" w:hAnsi="宋体" w:eastAsia="宋体" w:cs="宋体"/>
          <w:sz w:val="24"/>
          <w:szCs w:val="24"/>
        </w:rPr>
        <w:t xml:space="preserve"> 保护工作在立法、执法水平和管理手段上差别很大，</w:t>
      </w:r>
      <w:r>
        <w:rPr>
          <w:rFonts w:ascii="宋体" w:hAnsi="宋体" w:eastAsia="宋体" w:cs="宋体"/>
          <w:spacing w:val="-1"/>
          <w:sz w:val="24"/>
          <w:szCs w:val="24"/>
        </w:rPr>
        <w:t>尤其是应对水源地事故时，</w:t>
      </w:r>
      <w:r>
        <w:rPr>
          <w:rFonts w:ascii="宋体" w:hAnsi="宋体" w:eastAsia="宋体" w:cs="宋体"/>
          <w:sz w:val="24"/>
          <w:szCs w:val="24"/>
        </w:rPr>
        <w:t xml:space="preserve"> </w:t>
      </w:r>
      <w:r>
        <w:rPr>
          <w:rFonts w:ascii="宋体" w:hAnsi="宋体" w:eastAsia="宋体" w:cs="宋体"/>
          <w:spacing w:val="-2"/>
          <w:sz w:val="24"/>
          <w:szCs w:val="24"/>
        </w:rPr>
        <w:t>应急人员无据可依，无章可循，应急工作启动缓慢。因此，制定科学合理的集中</w:t>
      </w:r>
      <w:r>
        <w:rPr>
          <w:rFonts w:ascii="宋体" w:hAnsi="宋体" w:eastAsia="宋体" w:cs="宋体"/>
          <w:spacing w:val="14"/>
          <w:sz w:val="24"/>
          <w:szCs w:val="24"/>
        </w:rPr>
        <w:t xml:space="preserve"> </w:t>
      </w:r>
      <w:r>
        <w:rPr>
          <w:rFonts w:ascii="宋体" w:hAnsi="宋体" w:eastAsia="宋体" w:cs="宋体"/>
          <w:sz w:val="24"/>
          <w:szCs w:val="24"/>
        </w:rPr>
        <w:t>式饮用水源地保护区应急预案，保障饮用水源的水质安</w:t>
      </w:r>
      <w:r>
        <w:rPr>
          <w:rFonts w:ascii="宋体" w:hAnsi="宋体" w:eastAsia="宋体" w:cs="宋体"/>
          <w:spacing w:val="-1"/>
          <w:sz w:val="24"/>
          <w:szCs w:val="24"/>
        </w:rPr>
        <w:t>全显得极为重要和迫切。</w:t>
      </w:r>
    </w:p>
    <w:p w14:paraId="1015DA6B">
      <w:pPr>
        <w:spacing w:before="57" w:line="356" w:lineRule="auto"/>
        <w:ind w:right="173" w:firstLine="489"/>
        <w:jc w:val="both"/>
        <w:rPr>
          <w:rFonts w:ascii="宋体" w:hAnsi="宋体" w:eastAsia="宋体" w:cs="宋体"/>
          <w:sz w:val="24"/>
          <w:szCs w:val="24"/>
        </w:rPr>
      </w:pPr>
      <w:r>
        <w:rPr>
          <w:rFonts w:ascii="宋体" w:hAnsi="宋体" w:eastAsia="宋体" w:cs="宋体"/>
          <w:spacing w:val="5"/>
          <w:sz w:val="24"/>
          <w:szCs w:val="24"/>
        </w:rPr>
        <w:t>党中央、国务院高度重视饮用水安全工作。胡锦涛总书记在2005年中央人</w:t>
      </w:r>
      <w:r>
        <w:rPr>
          <w:rFonts w:ascii="宋体" w:hAnsi="宋体" w:eastAsia="宋体" w:cs="宋体"/>
          <w:spacing w:val="9"/>
          <w:sz w:val="24"/>
          <w:szCs w:val="24"/>
        </w:rPr>
        <w:t xml:space="preserve"> </w:t>
      </w:r>
      <w:r>
        <w:rPr>
          <w:rFonts w:ascii="宋体" w:hAnsi="宋体" w:eastAsia="宋体" w:cs="宋体"/>
          <w:spacing w:val="-2"/>
          <w:sz w:val="24"/>
          <w:szCs w:val="24"/>
        </w:rPr>
        <w:t>口资源环境工作座谈会上，要求“把切实保</w:t>
      </w:r>
      <w:r>
        <w:rPr>
          <w:rFonts w:ascii="宋体" w:hAnsi="宋体" w:eastAsia="宋体" w:cs="宋体"/>
          <w:spacing w:val="-3"/>
          <w:sz w:val="24"/>
          <w:szCs w:val="24"/>
        </w:rPr>
        <w:t>护好饮用水源，让群众喝上放心水作</w:t>
      </w:r>
      <w:r>
        <w:rPr>
          <w:rFonts w:ascii="宋体" w:hAnsi="宋体" w:eastAsia="宋体" w:cs="宋体"/>
          <w:sz w:val="24"/>
          <w:szCs w:val="24"/>
        </w:rPr>
        <w:t xml:space="preserve"> </w:t>
      </w:r>
      <w:r>
        <w:rPr>
          <w:rFonts w:ascii="宋体" w:hAnsi="宋体" w:eastAsia="宋体" w:cs="宋体"/>
          <w:spacing w:val="5"/>
          <w:sz w:val="24"/>
          <w:szCs w:val="24"/>
        </w:rPr>
        <w:t>为首要任务”;国务院印发了《关于落实科学发展观加强环境保护的决定》(国</w:t>
      </w:r>
      <w:r>
        <w:rPr>
          <w:rFonts w:ascii="宋体" w:hAnsi="宋体" w:eastAsia="宋体" w:cs="宋体"/>
          <w:spacing w:val="8"/>
          <w:sz w:val="24"/>
          <w:szCs w:val="24"/>
        </w:rPr>
        <w:t xml:space="preserve"> </w:t>
      </w:r>
      <w:r>
        <w:rPr>
          <w:rFonts w:ascii="宋体" w:hAnsi="宋体" w:eastAsia="宋体" w:cs="宋体"/>
          <w:spacing w:val="11"/>
          <w:sz w:val="24"/>
          <w:szCs w:val="24"/>
        </w:rPr>
        <w:t xml:space="preserve">发[2005]39号),明确提出“以饮水安全和重点流域治理为重点，加强水污染 </w:t>
      </w:r>
      <w:r>
        <w:rPr>
          <w:rFonts w:ascii="宋体" w:hAnsi="宋体" w:eastAsia="宋体" w:cs="宋体"/>
          <w:spacing w:val="-2"/>
          <w:sz w:val="24"/>
          <w:szCs w:val="24"/>
        </w:rPr>
        <w:t>防治。要科学划定和调整饮用水水源保护区，切实加强饮用水水源保护，建</w:t>
      </w:r>
      <w:r>
        <w:rPr>
          <w:rFonts w:ascii="宋体" w:hAnsi="宋体" w:eastAsia="宋体" w:cs="宋体"/>
          <w:spacing w:val="-3"/>
          <w:sz w:val="24"/>
          <w:szCs w:val="24"/>
        </w:rPr>
        <w:t>设好</w:t>
      </w:r>
      <w:r>
        <w:rPr>
          <w:rFonts w:ascii="宋体" w:hAnsi="宋体" w:eastAsia="宋体" w:cs="宋体"/>
          <w:sz w:val="24"/>
          <w:szCs w:val="24"/>
        </w:rPr>
        <w:t xml:space="preserve"> </w:t>
      </w:r>
      <w:r>
        <w:rPr>
          <w:rFonts w:ascii="宋体" w:hAnsi="宋体" w:eastAsia="宋体" w:cs="宋体"/>
          <w:spacing w:val="-7"/>
          <w:sz w:val="24"/>
          <w:szCs w:val="24"/>
        </w:rPr>
        <w:t>城市备用水源，解决好农村饮水安全问题。坚决取缔水源保护区内的直接排污口，</w:t>
      </w:r>
      <w:r>
        <w:rPr>
          <w:rFonts w:ascii="宋体" w:hAnsi="宋体" w:eastAsia="宋体" w:cs="宋体"/>
          <w:spacing w:val="1"/>
          <w:sz w:val="24"/>
          <w:szCs w:val="24"/>
        </w:rPr>
        <w:t xml:space="preserve"> </w:t>
      </w:r>
      <w:r>
        <w:rPr>
          <w:rFonts w:ascii="宋体" w:hAnsi="宋体" w:eastAsia="宋体" w:cs="宋体"/>
          <w:spacing w:val="-2"/>
          <w:sz w:val="24"/>
          <w:szCs w:val="24"/>
        </w:rPr>
        <w:t>严防养殖业污染水源，禁止有毒有害物质进入饮用水水源保护区，强化水污染事</w:t>
      </w:r>
      <w:r>
        <w:rPr>
          <w:rFonts w:ascii="宋体" w:hAnsi="宋体" w:eastAsia="宋体" w:cs="宋体"/>
          <w:sz w:val="24"/>
          <w:szCs w:val="24"/>
        </w:rPr>
        <w:t xml:space="preserve"> </w:t>
      </w:r>
      <w:r>
        <w:rPr>
          <w:rFonts w:ascii="宋体" w:hAnsi="宋体" w:eastAsia="宋体" w:cs="宋体"/>
          <w:spacing w:val="-1"/>
          <w:sz w:val="24"/>
          <w:szCs w:val="24"/>
        </w:rPr>
        <w:t>故的预防和应急处理，确保群众饮水安全”。</w:t>
      </w:r>
    </w:p>
    <w:p w14:paraId="1F7F2FDF">
      <w:pPr>
        <w:spacing w:before="59" w:line="355" w:lineRule="auto"/>
        <w:ind w:right="143" w:firstLine="489"/>
        <w:jc w:val="both"/>
        <w:rPr>
          <w:rFonts w:ascii="宋体" w:hAnsi="宋体" w:eastAsia="宋体" w:cs="宋体"/>
          <w:sz w:val="24"/>
          <w:szCs w:val="24"/>
        </w:rPr>
      </w:pPr>
      <w:r>
        <w:rPr>
          <w:rFonts w:ascii="宋体" w:hAnsi="宋体" w:eastAsia="宋体" w:cs="宋体"/>
          <w:spacing w:val="-7"/>
          <w:sz w:val="24"/>
          <w:szCs w:val="24"/>
        </w:rPr>
        <w:t>为贯彻《中华人民共和国环境保护法》、《中华人民共和国水污染防治法》、</w:t>
      </w:r>
      <w:r>
        <w:rPr>
          <w:rFonts w:ascii="宋体" w:hAnsi="宋体" w:eastAsia="宋体" w:cs="宋体"/>
          <w:spacing w:val="7"/>
          <w:sz w:val="24"/>
          <w:szCs w:val="24"/>
        </w:rPr>
        <w:t xml:space="preserve"> </w:t>
      </w:r>
      <w:r>
        <w:rPr>
          <w:rFonts w:ascii="宋体" w:hAnsi="宋体" w:eastAsia="宋体" w:cs="宋体"/>
          <w:spacing w:val="1"/>
          <w:sz w:val="24"/>
          <w:szCs w:val="24"/>
        </w:rPr>
        <w:t xml:space="preserve">《中华人民共和国水法》和《内蒙古自治区饮用水水源保护条例》,加强饮用水  </w:t>
      </w:r>
      <w:r>
        <w:rPr>
          <w:rFonts w:ascii="宋体" w:hAnsi="宋体" w:eastAsia="宋体" w:cs="宋体"/>
          <w:spacing w:val="-2"/>
          <w:sz w:val="24"/>
          <w:szCs w:val="24"/>
        </w:rPr>
        <w:t>水水源地环境保护和防范饮用水水源地污染风险，更加科学合理地保护包头市石</w:t>
      </w:r>
      <w:r>
        <w:rPr>
          <w:rFonts w:ascii="宋体" w:hAnsi="宋体" w:eastAsia="宋体" w:cs="宋体"/>
          <w:spacing w:val="1"/>
          <w:sz w:val="24"/>
          <w:szCs w:val="24"/>
        </w:rPr>
        <w:t xml:space="preserve"> </w:t>
      </w:r>
      <w:r>
        <w:rPr>
          <w:rFonts w:ascii="宋体" w:hAnsi="宋体" w:eastAsia="宋体" w:cs="宋体"/>
          <w:spacing w:val="-2"/>
          <w:sz w:val="24"/>
          <w:szCs w:val="24"/>
        </w:rPr>
        <w:t>拐区饮用水水源，保障石拐区人民的饮水健康，推进生态文明建设，促进经济社</w:t>
      </w:r>
      <w:r>
        <w:rPr>
          <w:rFonts w:ascii="宋体" w:hAnsi="宋体" w:eastAsia="宋体" w:cs="宋体"/>
          <w:sz w:val="24"/>
          <w:szCs w:val="24"/>
        </w:rPr>
        <w:t xml:space="preserve"> </w:t>
      </w:r>
      <w:r>
        <w:rPr>
          <w:rFonts w:ascii="宋体" w:hAnsi="宋体" w:eastAsia="宋体" w:cs="宋体"/>
          <w:spacing w:val="12"/>
          <w:sz w:val="24"/>
          <w:szCs w:val="24"/>
        </w:rPr>
        <w:t>会可持续发展，包头市石拐区根据2018年7月1</w:t>
      </w:r>
      <w:r>
        <w:rPr>
          <w:rFonts w:ascii="宋体" w:hAnsi="宋体" w:eastAsia="宋体" w:cs="宋体"/>
          <w:spacing w:val="11"/>
          <w:sz w:val="24"/>
          <w:szCs w:val="24"/>
        </w:rPr>
        <w:t>日实施的《饮用水水源保护区</w:t>
      </w:r>
      <w:r>
        <w:rPr>
          <w:rFonts w:ascii="宋体" w:hAnsi="宋体" w:eastAsia="宋体" w:cs="宋体"/>
          <w:sz w:val="24"/>
          <w:szCs w:val="24"/>
        </w:rPr>
        <w:t xml:space="preserve"> 划分技术规范》</w:t>
      </w:r>
      <w:r>
        <w:rPr>
          <w:rFonts w:ascii="宋体" w:hAnsi="宋体" w:eastAsia="宋体" w:cs="宋体"/>
          <w:spacing w:val="-40"/>
          <w:sz w:val="24"/>
          <w:szCs w:val="24"/>
        </w:rPr>
        <w:t xml:space="preserve"> </w:t>
      </w:r>
      <w:r>
        <w:rPr>
          <w:rFonts w:ascii="宋体" w:hAnsi="宋体" w:eastAsia="宋体" w:cs="宋体"/>
          <w:sz w:val="24"/>
          <w:szCs w:val="24"/>
        </w:rPr>
        <w:t>(</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 xml:space="preserve">HJ  338—2018) </w:t>
      </w:r>
      <w:r>
        <w:rPr>
          <w:rFonts w:ascii="宋体" w:hAnsi="宋体" w:eastAsia="宋体" w:cs="宋体"/>
          <w:sz w:val="24"/>
          <w:szCs w:val="24"/>
        </w:rPr>
        <w:t>对包头市石拐区集</w:t>
      </w:r>
      <w:r>
        <w:rPr>
          <w:rFonts w:ascii="宋体" w:hAnsi="宋体" w:eastAsia="宋体" w:cs="宋体"/>
          <w:spacing w:val="-1"/>
          <w:sz w:val="24"/>
          <w:szCs w:val="24"/>
        </w:rPr>
        <w:t>中式地下水饮用水水源保护</w:t>
      </w:r>
      <w:r>
        <w:rPr>
          <w:rFonts w:ascii="宋体" w:hAnsi="宋体" w:eastAsia="宋体" w:cs="宋体"/>
          <w:sz w:val="24"/>
          <w:szCs w:val="24"/>
        </w:rPr>
        <w:t xml:space="preserve"> </w:t>
      </w:r>
      <w:r>
        <w:rPr>
          <w:rFonts w:ascii="宋体" w:hAnsi="宋体" w:eastAsia="宋体" w:cs="宋体"/>
          <w:spacing w:val="4"/>
          <w:sz w:val="24"/>
          <w:szCs w:val="24"/>
        </w:rPr>
        <w:t>区进行调整，本次调整石拐区水源地重点调出2#水源井，以剩余的1#水源井调</w:t>
      </w:r>
      <w:r>
        <w:rPr>
          <w:rFonts w:ascii="宋体" w:hAnsi="宋体" w:eastAsia="宋体" w:cs="宋体"/>
          <w:spacing w:val="7"/>
          <w:sz w:val="24"/>
          <w:szCs w:val="24"/>
        </w:rPr>
        <w:t xml:space="preserve">  </w:t>
      </w:r>
      <w:r>
        <w:rPr>
          <w:rFonts w:ascii="宋体" w:hAnsi="宋体" w:eastAsia="宋体" w:cs="宋体"/>
          <w:spacing w:val="-2"/>
          <w:sz w:val="24"/>
          <w:szCs w:val="24"/>
        </w:rPr>
        <w:t>整划分石拐区水源保护区。为了建立长效管理机制、确保饮用水</w:t>
      </w:r>
      <w:r>
        <w:rPr>
          <w:rFonts w:ascii="宋体" w:hAnsi="宋体" w:eastAsia="宋体" w:cs="宋体"/>
          <w:spacing w:val="-3"/>
          <w:sz w:val="24"/>
          <w:szCs w:val="24"/>
        </w:rPr>
        <w:t>源长期安全。因</w:t>
      </w:r>
      <w:r>
        <w:rPr>
          <w:rFonts w:ascii="宋体" w:hAnsi="宋体" w:eastAsia="宋体" w:cs="宋体"/>
          <w:sz w:val="24"/>
          <w:szCs w:val="24"/>
        </w:rPr>
        <w:t xml:space="preserve"> </w:t>
      </w:r>
      <w:r>
        <w:rPr>
          <w:rFonts w:ascii="宋体" w:hAnsi="宋体" w:eastAsia="宋体" w:cs="宋体"/>
          <w:spacing w:val="-2"/>
          <w:sz w:val="24"/>
          <w:szCs w:val="24"/>
        </w:rPr>
        <w:t>此，包头市石拐区人民政府编制了《包头市石拐区集中式饮用水水源地突发环境</w:t>
      </w:r>
      <w:r>
        <w:rPr>
          <w:rFonts w:ascii="宋体" w:hAnsi="宋体" w:eastAsia="宋体" w:cs="宋体"/>
          <w:sz w:val="24"/>
          <w:szCs w:val="24"/>
        </w:rPr>
        <w:t xml:space="preserve"> </w:t>
      </w:r>
      <w:r>
        <w:rPr>
          <w:rFonts w:ascii="宋体" w:hAnsi="宋体" w:eastAsia="宋体" w:cs="宋体"/>
          <w:spacing w:val="2"/>
          <w:sz w:val="24"/>
          <w:szCs w:val="24"/>
        </w:rPr>
        <w:t>事件应急预案》,并将其作为包头市石拐</w:t>
      </w:r>
      <w:r>
        <w:rPr>
          <w:rFonts w:ascii="宋体" w:hAnsi="宋体" w:eastAsia="宋体" w:cs="宋体"/>
          <w:color w:val="506070"/>
          <w:spacing w:val="2"/>
          <w:sz w:val="24"/>
          <w:szCs w:val="24"/>
        </w:rPr>
        <w:t>区集中式</w:t>
      </w:r>
      <w:r>
        <w:rPr>
          <w:rFonts w:ascii="宋体" w:hAnsi="宋体" w:eastAsia="宋体" w:cs="宋体"/>
          <w:color w:val="506070"/>
          <w:spacing w:val="1"/>
          <w:sz w:val="24"/>
          <w:szCs w:val="24"/>
        </w:rPr>
        <w:t>饮用水水源地突发事件应急的</w:t>
      </w:r>
      <w:r>
        <w:rPr>
          <w:rFonts w:ascii="宋体" w:hAnsi="宋体" w:eastAsia="宋体" w:cs="宋体"/>
          <w:color w:val="506070"/>
          <w:sz w:val="24"/>
          <w:szCs w:val="24"/>
        </w:rPr>
        <w:t xml:space="preserve"> </w:t>
      </w:r>
      <w:r>
        <w:rPr>
          <w:rFonts w:ascii="宋体" w:hAnsi="宋体" w:eastAsia="宋体" w:cs="宋体"/>
          <w:spacing w:val="-3"/>
          <w:sz w:val="24"/>
          <w:szCs w:val="24"/>
        </w:rPr>
        <w:t>指导性文件。</w:t>
      </w:r>
    </w:p>
    <w:p w14:paraId="289EFB7D">
      <w:pPr>
        <w:spacing w:line="355" w:lineRule="auto"/>
        <w:rPr>
          <w:rFonts w:ascii="宋体" w:hAnsi="宋体" w:eastAsia="宋体" w:cs="宋体"/>
          <w:sz w:val="24"/>
          <w:szCs w:val="24"/>
        </w:rPr>
        <w:sectPr>
          <w:pgSz w:w="11910" w:h="16850"/>
          <w:pgMar w:top="1419" w:right="1786" w:bottom="0" w:left="1559" w:header="0" w:footer="0" w:gutter="0"/>
          <w:cols w:space="720" w:num="1"/>
        </w:sectPr>
      </w:pPr>
    </w:p>
    <w:sdt>
      <w:sdtPr>
        <w:rPr>
          <w:rFonts w:ascii="宋体" w:hAnsi="宋体" w:eastAsia="宋体" w:cs="宋体"/>
          <w:sz w:val="26"/>
          <w:szCs w:val="26"/>
        </w:rPr>
        <w:id w:val="147470707"/>
        <w:docPartObj>
          <w:docPartGallery w:val="Table of Contents"/>
          <w:docPartUnique/>
        </w:docPartObj>
      </w:sdtPr>
      <w:sdtEndPr>
        <w:rPr>
          <w:rFonts w:ascii="Arial" w:hAnsi="Arial" w:eastAsia="Arial" w:cs="Arial"/>
          <w:sz w:val="23"/>
          <w:szCs w:val="23"/>
        </w:rPr>
      </w:sdtEndPr>
      <w:sdtContent>
        <w:p w14:paraId="3A334ADE">
          <w:pPr>
            <w:spacing w:before="178" w:line="221" w:lineRule="auto"/>
            <w:ind w:left="3923"/>
            <w:rPr>
              <w:rFonts w:ascii="宋体" w:hAnsi="宋体" w:eastAsia="宋体" w:cs="宋体"/>
              <w:sz w:val="26"/>
              <w:szCs w:val="26"/>
            </w:rPr>
          </w:pPr>
          <w:r>
            <w:rPr>
              <w:rFonts w:ascii="宋体" w:hAnsi="宋体" w:eastAsia="宋体" w:cs="宋体"/>
              <w:b/>
              <w:bCs/>
              <w:color w:val="304040"/>
              <w:spacing w:val="-18"/>
              <w:sz w:val="26"/>
              <w:szCs w:val="26"/>
            </w:rPr>
            <w:t>目录</w:t>
          </w:r>
        </w:p>
        <w:p w14:paraId="7F10D8A9">
          <w:pPr>
            <w:tabs>
              <w:tab w:val="right" w:leader="dot" w:pos="8292"/>
            </w:tabs>
            <w:spacing w:before="197" w:line="219" w:lineRule="auto"/>
            <w:ind w:left="469"/>
            <w:rPr>
              <w:rFonts w:ascii="Arial" w:hAnsi="Arial" w:eastAsia="Arial" w:cs="Arial"/>
              <w:sz w:val="23"/>
              <w:szCs w:val="23"/>
            </w:rPr>
          </w:pPr>
          <w:r>
            <w:fldChar w:fldCharType="begin"/>
          </w:r>
          <w:r>
            <w:instrText xml:space="preserve"> HYPERLINK \l "bookmark1" </w:instrText>
          </w:r>
          <w:r>
            <w:fldChar w:fldCharType="separate"/>
          </w:r>
          <w:r>
            <w:rPr>
              <w:rFonts w:ascii="Times New Roman" w:hAnsi="Times New Roman" w:eastAsia="Times New Roman" w:cs="Times New Roman"/>
              <w:spacing w:val="6"/>
              <w:sz w:val="23"/>
              <w:szCs w:val="23"/>
            </w:rPr>
            <w:t xml:space="preserve">1.1  </w:t>
          </w:r>
          <w:r>
            <w:rPr>
              <w:rFonts w:ascii="宋体" w:hAnsi="宋体" w:eastAsia="宋体" w:cs="宋体"/>
              <w:spacing w:val="6"/>
              <w:sz w:val="23"/>
              <w:szCs w:val="23"/>
            </w:rPr>
            <w:t>编制目的</w:t>
          </w:r>
          <w:r>
            <w:rPr>
              <w:rFonts w:ascii="宋体" w:hAnsi="宋体" w:eastAsia="宋体" w:cs="宋体"/>
              <w:spacing w:val="-103"/>
              <w:sz w:val="23"/>
              <w:szCs w:val="23"/>
            </w:rPr>
            <w:t xml:space="preserve"> </w:t>
          </w:r>
          <w:r>
            <w:rPr>
              <w:rFonts w:ascii="宋体" w:hAnsi="宋体" w:eastAsia="宋体" w:cs="宋体"/>
              <w:sz w:val="23"/>
              <w:szCs w:val="23"/>
            </w:rPr>
            <w:tab/>
          </w:r>
          <w:r>
            <w:rPr>
              <w:rFonts w:ascii="Arial" w:hAnsi="Arial" w:eastAsia="Arial" w:cs="Arial"/>
              <w:sz w:val="23"/>
              <w:szCs w:val="23"/>
            </w:rPr>
            <w:t>1</w:t>
          </w:r>
          <w:r>
            <w:rPr>
              <w:rFonts w:ascii="Arial" w:hAnsi="Arial" w:eastAsia="Arial" w:cs="Arial"/>
              <w:sz w:val="23"/>
              <w:szCs w:val="23"/>
            </w:rPr>
            <w:fldChar w:fldCharType="end"/>
          </w:r>
        </w:p>
        <w:p w14:paraId="7532CA18">
          <w:pPr>
            <w:tabs>
              <w:tab w:val="right" w:leader="dot" w:pos="8282"/>
            </w:tabs>
            <w:spacing w:before="197" w:line="220" w:lineRule="auto"/>
            <w:ind w:left="469"/>
            <w:rPr>
              <w:rFonts w:ascii="Arial" w:hAnsi="Arial" w:eastAsia="Arial" w:cs="Arial"/>
              <w:sz w:val="23"/>
              <w:szCs w:val="23"/>
            </w:rPr>
          </w:pPr>
          <w:r>
            <w:fldChar w:fldCharType="begin"/>
          </w:r>
          <w:r>
            <w:instrText xml:space="preserve"> HYPERLINK \l "bookmark2" </w:instrText>
          </w:r>
          <w:r>
            <w:fldChar w:fldCharType="separate"/>
          </w:r>
          <w:r>
            <w:rPr>
              <w:rFonts w:ascii="Times New Roman" w:hAnsi="Times New Roman" w:eastAsia="Times New Roman" w:cs="Times New Roman"/>
              <w:color w:val="303030"/>
              <w:spacing w:val="6"/>
              <w:sz w:val="23"/>
              <w:szCs w:val="23"/>
            </w:rPr>
            <w:t xml:space="preserve">1.2  </w:t>
          </w:r>
          <w:r>
            <w:rPr>
              <w:rFonts w:ascii="宋体" w:hAnsi="宋体" w:eastAsia="宋体" w:cs="宋体"/>
              <w:color w:val="303030"/>
              <w:spacing w:val="6"/>
              <w:sz w:val="23"/>
              <w:szCs w:val="23"/>
            </w:rPr>
            <w:t>适用范围</w:t>
          </w:r>
          <w:r>
            <w:rPr>
              <w:rFonts w:ascii="宋体" w:hAnsi="宋体" w:eastAsia="宋体" w:cs="宋体"/>
              <w:color w:val="303030"/>
              <w:spacing w:val="-103"/>
              <w:sz w:val="23"/>
              <w:szCs w:val="23"/>
            </w:rPr>
            <w:t xml:space="preserve"> </w:t>
          </w:r>
          <w:r>
            <w:rPr>
              <w:rFonts w:ascii="宋体" w:hAnsi="宋体" w:eastAsia="宋体" w:cs="宋体"/>
              <w:sz w:val="23"/>
              <w:szCs w:val="23"/>
            </w:rPr>
            <w:tab/>
          </w:r>
          <w:r>
            <w:rPr>
              <w:rFonts w:ascii="Arial" w:hAnsi="Arial" w:eastAsia="Arial" w:cs="Arial"/>
              <w:color w:val="303030"/>
              <w:sz w:val="23"/>
              <w:szCs w:val="23"/>
            </w:rPr>
            <w:t>1</w:t>
          </w:r>
          <w:r>
            <w:rPr>
              <w:rFonts w:ascii="Arial" w:hAnsi="Arial" w:eastAsia="Arial" w:cs="Arial"/>
              <w:color w:val="303030"/>
              <w:sz w:val="23"/>
              <w:szCs w:val="23"/>
            </w:rPr>
            <w:fldChar w:fldCharType="end"/>
          </w:r>
        </w:p>
        <w:p w14:paraId="2E2CF047">
          <w:pPr>
            <w:tabs>
              <w:tab w:val="right" w:leader="dot" w:pos="8292"/>
            </w:tabs>
            <w:spacing w:before="193" w:line="219" w:lineRule="auto"/>
            <w:ind w:left="469"/>
            <w:rPr>
              <w:rFonts w:ascii="Arial" w:hAnsi="Arial" w:eastAsia="Arial" w:cs="Arial"/>
              <w:sz w:val="23"/>
              <w:szCs w:val="23"/>
            </w:rPr>
          </w:pPr>
          <w:r>
            <w:fldChar w:fldCharType="begin"/>
          </w:r>
          <w:r>
            <w:instrText xml:space="preserve"> HYPERLINK \l "bookmark3" </w:instrText>
          </w:r>
          <w:r>
            <w:fldChar w:fldCharType="separate"/>
          </w:r>
          <w:r>
            <w:rPr>
              <w:rFonts w:ascii="Times New Roman" w:hAnsi="Times New Roman" w:eastAsia="Times New Roman" w:cs="Times New Roman"/>
              <w:color w:val="304040"/>
              <w:spacing w:val="9"/>
              <w:sz w:val="23"/>
              <w:szCs w:val="23"/>
            </w:rPr>
            <w:t xml:space="preserve">1.3  </w:t>
          </w:r>
          <w:r>
            <w:rPr>
              <w:rFonts w:ascii="宋体" w:hAnsi="宋体" w:eastAsia="宋体" w:cs="宋体"/>
              <w:color w:val="304040"/>
              <w:spacing w:val="9"/>
              <w:sz w:val="23"/>
              <w:szCs w:val="23"/>
            </w:rPr>
            <w:t>编制依据</w:t>
          </w:r>
          <w:r>
            <w:rPr>
              <w:rFonts w:ascii="宋体" w:hAnsi="宋体" w:eastAsia="宋体" w:cs="宋体"/>
              <w:color w:val="304040"/>
              <w:spacing w:val="-99"/>
              <w:sz w:val="23"/>
              <w:szCs w:val="23"/>
            </w:rPr>
            <w:t xml:space="preserve"> </w:t>
          </w:r>
          <w:r>
            <w:rPr>
              <w:rFonts w:ascii="宋体" w:hAnsi="宋体" w:eastAsia="宋体" w:cs="宋体"/>
              <w:color w:val="304040"/>
              <w:sz w:val="23"/>
              <w:szCs w:val="23"/>
            </w:rPr>
            <w:tab/>
          </w:r>
          <w:r>
            <w:rPr>
              <w:rFonts w:ascii="宋体" w:hAnsi="宋体" w:eastAsia="宋体" w:cs="宋体"/>
              <w:color w:val="304040"/>
              <w:spacing w:val="1"/>
              <w:sz w:val="23"/>
              <w:szCs w:val="23"/>
            </w:rPr>
            <w:t xml:space="preserve"> </w:t>
          </w:r>
          <w:r>
            <w:rPr>
              <w:rFonts w:ascii="Arial" w:hAnsi="Arial" w:eastAsia="Arial" w:cs="Arial"/>
              <w:color w:val="304040"/>
              <w:sz w:val="23"/>
              <w:szCs w:val="23"/>
            </w:rPr>
            <w:t>1</w:t>
          </w:r>
          <w:r>
            <w:rPr>
              <w:rFonts w:ascii="Arial" w:hAnsi="Arial" w:eastAsia="Arial" w:cs="Arial"/>
              <w:color w:val="304040"/>
              <w:sz w:val="23"/>
              <w:szCs w:val="23"/>
            </w:rPr>
            <w:fldChar w:fldCharType="end"/>
          </w:r>
        </w:p>
        <w:p w14:paraId="1F27FD82">
          <w:pPr>
            <w:tabs>
              <w:tab w:val="right" w:leader="dot" w:pos="8292"/>
            </w:tabs>
            <w:spacing w:before="187" w:line="219" w:lineRule="auto"/>
            <w:ind w:left="949"/>
            <w:rPr>
              <w:rFonts w:ascii="Arial" w:hAnsi="Arial" w:eastAsia="Arial" w:cs="Arial"/>
              <w:sz w:val="23"/>
              <w:szCs w:val="23"/>
            </w:rPr>
          </w:pPr>
          <w:r>
            <w:fldChar w:fldCharType="begin"/>
          </w:r>
          <w:r>
            <w:instrText xml:space="preserve"> HYPERLINK \l "bookmark4" </w:instrText>
          </w:r>
          <w:r>
            <w:fldChar w:fldCharType="separate"/>
          </w:r>
          <w:r>
            <w:rPr>
              <w:rFonts w:ascii="Times New Roman" w:hAnsi="Times New Roman" w:eastAsia="Times New Roman" w:cs="Times New Roman"/>
              <w:color w:val="202030"/>
              <w:spacing w:val="5"/>
              <w:sz w:val="23"/>
              <w:szCs w:val="23"/>
            </w:rPr>
            <w:t xml:space="preserve">1.3.1   </w:t>
          </w:r>
          <w:r>
            <w:rPr>
              <w:rFonts w:ascii="宋体" w:hAnsi="宋体" w:eastAsia="宋体" w:cs="宋体"/>
              <w:color w:val="808080"/>
              <w:spacing w:val="5"/>
              <w:sz w:val="23"/>
              <w:szCs w:val="23"/>
            </w:rPr>
            <w:t>法</w:t>
          </w:r>
          <w:r>
            <w:rPr>
              <w:rFonts w:ascii="宋体" w:hAnsi="宋体" w:eastAsia="宋体" w:cs="宋体"/>
              <w:color w:val="808080"/>
              <w:spacing w:val="-59"/>
              <w:sz w:val="23"/>
              <w:szCs w:val="23"/>
            </w:rPr>
            <w:t xml:space="preserve"> </w:t>
          </w:r>
          <w:r>
            <w:rPr>
              <w:rFonts w:ascii="宋体" w:hAnsi="宋体" w:eastAsia="宋体" w:cs="宋体"/>
              <w:color w:val="202030"/>
              <w:spacing w:val="5"/>
              <w:sz w:val="23"/>
              <w:szCs w:val="23"/>
            </w:rPr>
            <w:t>律依据及规范性文件</w:t>
          </w:r>
          <w:r>
            <w:rPr>
              <w:rFonts w:ascii="宋体" w:hAnsi="宋体" w:eastAsia="宋体" w:cs="宋体"/>
              <w:color w:val="202030"/>
              <w:spacing w:val="-95"/>
              <w:sz w:val="23"/>
              <w:szCs w:val="23"/>
            </w:rPr>
            <w:t xml:space="preserve"> </w:t>
          </w:r>
          <w:r>
            <w:rPr>
              <w:rFonts w:ascii="宋体" w:hAnsi="宋体" w:eastAsia="宋体" w:cs="宋体"/>
              <w:color w:val="202030"/>
              <w:sz w:val="23"/>
              <w:szCs w:val="23"/>
            </w:rPr>
            <w:tab/>
          </w:r>
          <w:r>
            <w:rPr>
              <w:rFonts w:ascii="Arial" w:hAnsi="Arial" w:eastAsia="Arial" w:cs="Arial"/>
              <w:color w:val="202030"/>
              <w:spacing w:val="1"/>
              <w:sz w:val="23"/>
              <w:szCs w:val="23"/>
            </w:rPr>
            <w:t>1</w:t>
          </w:r>
          <w:r>
            <w:rPr>
              <w:rFonts w:ascii="Arial" w:hAnsi="Arial" w:eastAsia="Arial" w:cs="Arial"/>
              <w:color w:val="202030"/>
              <w:spacing w:val="1"/>
              <w:sz w:val="23"/>
              <w:szCs w:val="23"/>
            </w:rPr>
            <w:fldChar w:fldCharType="end"/>
          </w:r>
        </w:p>
        <w:p w14:paraId="25B0D9E7">
          <w:pPr>
            <w:tabs>
              <w:tab w:val="right" w:leader="dot" w:pos="8290"/>
            </w:tabs>
            <w:spacing w:before="199" w:line="219" w:lineRule="auto"/>
            <w:ind w:left="949"/>
            <w:rPr>
              <w:rFonts w:ascii="Arial" w:hAnsi="Arial" w:eastAsia="Arial" w:cs="Arial"/>
              <w:sz w:val="23"/>
              <w:szCs w:val="23"/>
            </w:rPr>
          </w:pPr>
          <w:r>
            <w:fldChar w:fldCharType="begin"/>
          </w:r>
          <w:r>
            <w:instrText xml:space="preserve"> HYPERLINK \l "bookmark5" </w:instrText>
          </w:r>
          <w:r>
            <w:fldChar w:fldCharType="separate"/>
          </w:r>
          <w:r>
            <w:rPr>
              <w:rFonts w:ascii="Times New Roman" w:hAnsi="Times New Roman" w:eastAsia="Times New Roman" w:cs="Times New Roman"/>
              <w:color w:val="205030"/>
              <w:spacing w:val="7"/>
              <w:sz w:val="23"/>
              <w:szCs w:val="23"/>
            </w:rPr>
            <w:t xml:space="preserve">1.3.2   </w:t>
          </w:r>
          <w:r>
            <w:rPr>
              <w:rFonts w:ascii="宋体" w:hAnsi="宋体" w:eastAsia="宋体" w:cs="宋体"/>
              <w:color w:val="205030"/>
              <w:spacing w:val="7"/>
              <w:sz w:val="23"/>
              <w:szCs w:val="23"/>
            </w:rPr>
            <w:t>政策文件</w:t>
          </w:r>
          <w:r>
            <w:rPr>
              <w:rFonts w:ascii="宋体" w:hAnsi="宋体" w:eastAsia="宋体" w:cs="宋体"/>
              <w:color w:val="205030"/>
              <w:spacing w:val="-93"/>
              <w:sz w:val="23"/>
              <w:szCs w:val="23"/>
            </w:rPr>
            <w:t xml:space="preserve"> </w:t>
          </w:r>
          <w:r>
            <w:rPr>
              <w:rFonts w:ascii="宋体" w:hAnsi="宋体" w:eastAsia="宋体" w:cs="宋体"/>
              <w:color w:val="104020"/>
              <w:sz w:val="23"/>
              <w:szCs w:val="23"/>
            </w:rPr>
            <w:tab/>
          </w:r>
          <w:r>
            <w:rPr>
              <w:rFonts w:ascii="宋体" w:hAnsi="宋体" w:eastAsia="宋体" w:cs="宋体"/>
              <w:color w:val="205030"/>
              <w:spacing w:val="-49"/>
              <w:sz w:val="23"/>
              <w:szCs w:val="23"/>
            </w:rPr>
            <w:t xml:space="preserve"> </w:t>
          </w:r>
          <w:r>
            <w:rPr>
              <w:rFonts w:ascii="Arial" w:hAnsi="Arial" w:eastAsia="Arial" w:cs="Arial"/>
              <w:color w:val="205030"/>
              <w:sz w:val="23"/>
              <w:szCs w:val="23"/>
            </w:rPr>
            <w:t>2</w:t>
          </w:r>
          <w:r>
            <w:rPr>
              <w:rFonts w:ascii="Arial" w:hAnsi="Arial" w:eastAsia="Arial" w:cs="Arial"/>
              <w:color w:val="205030"/>
              <w:sz w:val="23"/>
              <w:szCs w:val="23"/>
            </w:rPr>
            <w:fldChar w:fldCharType="end"/>
          </w:r>
        </w:p>
        <w:p w14:paraId="41647A46">
          <w:pPr>
            <w:tabs>
              <w:tab w:val="right" w:leader="dot" w:pos="8287"/>
            </w:tabs>
            <w:spacing w:before="156" w:line="314" w:lineRule="exact"/>
            <w:ind w:left="949"/>
            <w:rPr>
              <w:rFonts w:ascii="Arial" w:hAnsi="Arial" w:eastAsia="Arial" w:cs="Arial"/>
              <w:sz w:val="23"/>
              <w:szCs w:val="23"/>
            </w:rPr>
          </w:pPr>
          <w:r>
            <w:fldChar w:fldCharType="begin"/>
          </w:r>
          <w:r>
            <w:instrText xml:space="preserve"> HYPERLINK \l "bookmark6" </w:instrText>
          </w:r>
          <w:r>
            <w:fldChar w:fldCharType="separate"/>
          </w:r>
          <w:r>
            <w:rPr>
              <w:rFonts w:ascii="Times New Roman" w:hAnsi="Times New Roman" w:eastAsia="Times New Roman" w:cs="Times New Roman"/>
              <w:spacing w:val="7"/>
              <w:position w:val="1"/>
              <w:sz w:val="23"/>
              <w:szCs w:val="23"/>
            </w:rPr>
            <w:t>1.3.3</w:t>
          </w:r>
          <w:r>
            <w:rPr>
              <w:rFonts w:ascii="Times New Roman" w:hAnsi="Times New Roman" w:eastAsia="Times New Roman" w:cs="Times New Roman"/>
              <w:spacing w:val="10"/>
              <w:position w:val="1"/>
              <w:sz w:val="23"/>
              <w:szCs w:val="23"/>
            </w:rPr>
            <w:t xml:space="preserve">   </w:t>
          </w:r>
          <w:r>
            <w:rPr>
              <w:rFonts w:ascii="宋体" w:hAnsi="宋体" w:eastAsia="宋体" w:cs="宋体"/>
              <w:spacing w:val="7"/>
              <w:position w:val="1"/>
              <w:sz w:val="23"/>
              <w:szCs w:val="23"/>
            </w:rPr>
            <w:t>相关规划</w:t>
          </w:r>
          <w:r>
            <w:rPr>
              <w:rFonts w:ascii="宋体" w:hAnsi="宋体" w:eastAsia="宋体" w:cs="宋体"/>
              <w:spacing w:val="-102"/>
              <w:position w:val="1"/>
              <w:sz w:val="23"/>
              <w:szCs w:val="23"/>
            </w:rPr>
            <w:t xml:space="preserve"> </w:t>
          </w:r>
          <w:r>
            <w:rPr>
              <w:rFonts w:ascii="宋体" w:hAnsi="宋体" w:eastAsia="宋体" w:cs="宋体"/>
              <w:position w:val="1"/>
              <w:sz w:val="23"/>
              <w:szCs w:val="23"/>
            </w:rPr>
            <w:tab/>
          </w:r>
          <w:r>
            <w:rPr>
              <w:rFonts w:ascii="宋体" w:hAnsi="宋体" w:eastAsia="宋体" w:cs="宋体"/>
              <w:spacing w:val="-49"/>
              <w:position w:val="1"/>
              <w:sz w:val="23"/>
              <w:szCs w:val="23"/>
            </w:rPr>
            <w:t xml:space="preserve"> </w:t>
          </w:r>
          <w:r>
            <w:rPr>
              <w:rFonts w:ascii="Arial" w:hAnsi="Arial" w:eastAsia="Arial" w:cs="Arial"/>
              <w:position w:val="1"/>
              <w:sz w:val="23"/>
              <w:szCs w:val="23"/>
            </w:rPr>
            <w:t>3</w:t>
          </w:r>
          <w:r>
            <w:rPr>
              <w:rFonts w:ascii="Arial" w:hAnsi="Arial" w:eastAsia="Arial" w:cs="Arial"/>
              <w:position w:val="1"/>
              <w:sz w:val="23"/>
              <w:szCs w:val="23"/>
            </w:rPr>
            <w:fldChar w:fldCharType="end"/>
          </w:r>
        </w:p>
        <w:p w14:paraId="3A6A65A3">
          <w:pPr>
            <w:tabs>
              <w:tab w:val="right" w:leader="dot" w:pos="8287"/>
            </w:tabs>
            <w:spacing w:before="156" w:line="314" w:lineRule="exact"/>
            <w:ind w:left="949"/>
            <w:rPr>
              <w:rFonts w:ascii="Arial" w:hAnsi="Arial" w:eastAsia="Arial" w:cs="Arial"/>
              <w:sz w:val="23"/>
              <w:szCs w:val="23"/>
            </w:rPr>
          </w:pPr>
          <w:r>
            <w:fldChar w:fldCharType="begin"/>
          </w:r>
          <w:r>
            <w:instrText xml:space="preserve"> HYPERLINK \l "bookmark7" </w:instrText>
          </w:r>
          <w:r>
            <w:fldChar w:fldCharType="separate"/>
          </w:r>
          <w:r>
            <w:rPr>
              <w:rFonts w:ascii="Times New Roman" w:hAnsi="Times New Roman" w:eastAsia="Times New Roman" w:cs="Times New Roman"/>
              <w:spacing w:val="5"/>
              <w:position w:val="1"/>
              <w:sz w:val="23"/>
              <w:szCs w:val="23"/>
            </w:rPr>
            <w:t>1.2.4</w:t>
          </w:r>
          <w:r>
            <w:rPr>
              <w:rFonts w:ascii="Times New Roman" w:hAnsi="Times New Roman" w:eastAsia="Times New Roman" w:cs="Times New Roman"/>
              <w:spacing w:val="10"/>
              <w:position w:val="1"/>
              <w:sz w:val="23"/>
              <w:szCs w:val="23"/>
            </w:rPr>
            <w:t xml:space="preserve">   </w:t>
          </w:r>
          <w:r>
            <w:rPr>
              <w:rFonts w:ascii="宋体" w:hAnsi="宋体" w:eastAsia="宋体" w:cs="宋体"/>
              <w:spacing w:val="5"/>
              <w:position w:val="1"/>
              <w:sz w:val="23"/>
              <w:szCs w:val="23"/>
            </w:rPr>
            <w:t>相关标准</w:t>
          </w:r>
          <w:r>
            <w:rPr>
              <w:rFonts w:ascii="宋体" w:hAnsi="宋体" w:eastAsia="宋体" w:cs="宋体"/>
              <w:spacing w:val="-94"/>
              <w:position w:val="1"/>
              <w:sz w:val="23"/>
              <w:szCs w:val="23"/>
            </w:rPr>
            <w:t xml:space="preserve"> </w:t>
          </w:r>
          <w:r>
            <w:rPr>
              <w:rFonts w:ascii="宋体" w:hAnsi="宋体" w:eastAsia="宋体" w:cs="宋体"/>
              <w:position w:val="1"/>
              <w:sz w:val="23"/>
              <w:szCs w:val="23"/>
            </w:rPr>
            <w:tab/>
          </w:r>
          <w:r>
            <w:rPr>
              <w:rFonts w:ascii="宋体" w:hAnsi="宋体" w:eastAsia="宋体" w:cs="宋体"/>
              <w:spacing w:val="-39"/>
              <w:position w:val="1"/>
              <w:sz w:val="23"/>
              <w:szCs w:val="23"/>
            </w:rPr>
            <w:t xml:space="preserve"> </w:t>
          </w:r>
          <w:r>
            <w:rPr>
              <w:rFonts w:ascii="Arial" w:hAnsi="Arial" w:eastAsia="Arial" w:cs="Arial"/>
              <w:position w:val="1"/>
              <w:sz w:val="23"/>
              <w:szCs w:val="23"/>
            </w:rPr>
            <w:t>3</w:t>
          </w:r>
          <w:r>
            <w:rPr>
              <w:rFonts w:ascii="Arial" w:hAnsi="Arial" w:eastAsia="Arial" w:cs="Arial"/>
              <w:position w:val="1"/>
              <w:sz w:val="23"/>
              <w:szCs w:val="23"/>
            </w:rPr>
            <w:fldChar w:fldCharType="end"/>
          </w:r>
        </w:p>
        <w:p w14:paraId="3F83F25E">
          <w:pPr>
            <w:tabs>
              <w:tab w:val="right" w:leader="dot" w:pos="8287"/>
            </w:tabs>
            <w:spacing w:before="156" w:line="314" w:lineRule="exact"/>
            <w:ind w:left="949"/>
            <w:rPr>
              <w:rFonts w:ascii="Arial" w:hAnsi="Arial" w:eastAsia="Arial" w:cs="Arial"/>
              <w:sz w:val="23"/>
              <w:szCs w:val="23"/>
            </w:rPr>
          </w:pPr>
          <w:r>
            <w:fldChar w:fldCharType="begin"/>
          </w:r>
          <w:r>
            <w:instrText xml:space="preserve"> HYPERLINK \l "bookmark8" </w:instrText>
          </w:r>
          <w:r>
            <w:fldChar w:fldCharType="separate"/>
          </w:r>
          <w:r>
            <w:rPr>
              <w:rFonts w:ascii="Times New Roman" w:hAnsi="Times New Roman" w:eastAsia="Times New Roman" w:cs="Times New Roman"/>
              <w:spacing w:val="7"/>
              <w:position w:val="1"/>
              <w:sz w:val="23"/>
              <w:szCs w:val="23"/>
            </w:rPr>
            <w:t xml:space="preserve">1.2.5   </w:t>
          </w:r>
          <w:r>
            <w:rPr>
              <w:rFonts w:ascii="宋体" w:hAnsi="宋体" w:eastAsia="宋体" w:cs="宋体"/>
              <w:spacing w:val="7"/>
              <w:position w:val="1"/>
              <w:sz w:val="23"/>
              <w:szCs w:val="23"/>
            </w:rPr>
            <w:t>相关规划</w:t>
          </w:r>
          <w:r>
            <w:rPr>
              <w:rFonts w:ascii="宋体" w:hAnsi="宋体" w:eastAsia="宋体" w:cs="宋体"/>
              <w:spacing w:val="-103"/>
              <w:position w:val="1"/>
              <w:sz w:val="23"/>
              <w:szCs w:val="23"/>
            </w:rPr>
            <w:t xml:space="preserve"> </w:t>
          </w:r>
          <w:r>
            <w:rPr>
              <w:rFonts w:ascii="宋体" w:hAnsi="宋体" w:eastAsia="宋体" w:cs="宋体"/>
              <w:position w:val="1"/>
              <w:sz w:val="23"/>
              <w:szCs w:val="23"/>
            </w:rPr>
            <w:tab/>
          </w:r>
          <w:r>
            <w:rPr>
              <w:rFonts w:ascii="宋体" w:hAnsi="宋体" w:eastAsia="宋体" w:cs="宋体"/>
              <w:spacing w:val="-39"/>
              <w:position w:val="1"/>
              <w:sz w:val="23"/>
              <w:szCs w:val="23"/>
            </w:rPr>
            <w:t xml:space="preserve"> </w:t>
          </w:r>
          <w:r>
            <w:rPr>
              <w:rFonts w:ascii="Arial" w:hAnsi="Arial" w:eastAsia="Arial" w:cs="Arial"/>
              <w:position w:val="1"/>
              <w:sz w:val="23"/>
              <w:szCs w:val="23"/>
            </w:rPr>
            <w:t>3</w:t>
          </w:r>
          <w:r>
            <w:rPr>
              <w:rFonts w:ascii="Arial" w:hAnsi="Arial" w:eastAsia="Arial" w:cs="Arial"/>
              <w:position w:val="1"/>
              <w:sz w:val="23"/>
              <w:szCs w:val="23"/>
            </w:rPr>
            <w:fldChar w:fldCharType="end"/>
          </w:r>
        </w:p>
        <w:p w14:paraId="7CE15952">
          <w:pPr>
            <w:tabs>
              <w:tab w:val="right" w:leader="dot" w:pos="8284"/>
            </w:tabs>
            <w:spacing w:before="178" w:line="220" w:lineRule="auto"/>
            <w:ind w:left="469"/>
            <w:rPr>
              <w:rFonts w:ascii="Arial" w:hAnsi="Arial" w:eastAsia="Arial" w:cs="Arial"/>
              <w:sz w:val="23"/>
              <w:szCs w:val="23"/>
            </w:rPr>
          </w:pPr>
          <w:r>
            <w:fldChar w:fldCharType="begin"/>
          </w:r>
          <w:r>
            <w:instrText xml:space="preserve"> HYPERLINK \l "bookmark9" </w:instrText>
          </w:r>
          <w:r>
            <w:fldChar w:fldCharType="separate"/>
          </w:r>
          <w:r>
            <w:rPr>
              <w:rFonts w:ascii="Times New Roman" w:hAnsi="Times New Roman" w:eastAsia="Times New Roman" w:cs="Times New Roman"/>
              <w:spacing w:val="7"/>
              <w:sz w:val="23"/>
              <w:szCs w:val="23"/>
            </w:rPr>
            <w:t>1.3</w:t>
          </w:r>
          <w:r>
            <w:rPr>
              <w:rFonts w:ascii="Times New Roman" w:hAnsi="Times New Roman" w:eastAsia="Times New Roman" w:cs="Times New Roman"/>
              <w:spacing w:val="4"/>
              <w:sz w:val="23"/>
              <w:szCs w:val="23"/>
            </w:rPr>
            <w:t xml:space="preserve">  </w:t>
          </w:r>
          <w:r>
            <w:rPr>
              <w:rFonts w:ascii="宋体" w:hAnsi="宋体" w:eastAsia="宋体" w:cs="宋体"/>
              <w:spacing w:val="7"/>
              <w:sz w:val="23"/>
              <w:szCs w:val="23"/>
            </w:rPr>
            <w:t>适用范围</w:t>
          </w:r>
          <w:r>
            <w:rPr>
              <w:rFonts w:ascii="宋体" w:hAnsi="宋体" w:eastAsia="宋体" w:cs="宋体"/>
              <w:spacing w:val="-106"/>
              <w:sz w:val="23"/>
              <w:szCs w:val="23"/>
            </w:rPr>
            <w:t xml:space="preserve"> </w:t>
          </w:r>
          <w:r>
            <w:rPr>
              <w:rFonts w:ascii="宋体" w:hAnsi="宋体" w:eastAsia="宋体" w:cs="宋体"/>
              <w:sz w:val="23"/>
              <w:szCs w:val="23"/>
            </w:rPr>
            <w:tab/>
          </w:r>
          <w:r>
            <w:rPr>
              <w:rFonts w:ascii="宋体" w:hAnsi="宋体" w:eastAsia="宋体" w:cs="宋体"/>
              <w:spacing w:val="1"/>
              <w:sz w:val="23"/>
              <w:szCs w:val="23"/>
            </w:rPr>
            <w:t xml:space="preserve"> </w:t>
          </w:r>
          <w:r>
            <w:rPr>
              <w:rFonts w:ascii="Arial" w:hAnsi="Arial" w:eastAsia="Arial" w:cs="Arial"/>
              <w:sz w:val="23"/>
              <w:szCs w:val="23"/>
            </w:rPr>
            <w:t>4</w:t>
          </w:r>
          <w:r>
            <w:rPr>
              <w:rFonts w:ascii="Arial" w:hAnsi="Arial" w:eastAsia="Arial" w:cs="Arial"/>
              <w:sz w:val="23"/>
              <w:szCs w:val="23"/>
            </w:rPr>
            <w:fldChar w:fldCharType="end"/>
          </w:r>
        </w:p>
        <w:p w14:paraId="20820702">
          <w:pPr>
            <w:tabs>
              <w:tab w:val="right" w:leader="dot" w:pos="8284"/>
            </w:tabs>
            <w:spacing w:before="206" w:line="220" w:lineRule="auto"/>
            <w:ind w:left="469"/>
            <w:rPr>
              <w:rFonts w:ascii="Arial" w:hAnsi="Arial" w:eastAsia="Arial" w:cs="Arial"/>
              <w:sz w:val="23"/>
              <w:szCs w:val="23"/>
            </w:rPr>
          </w:pPr>
          <w:r>
            <w:fldChar w:fldCharType="begin"/>
          </w:r>
          <w:r>
            <w:instrText xml:space="preserve"> HYPERLINK \l "bookmark10" </w:instrText>
          </w:r>
          <w:r>
            <w:fldChar w:fldCharType="separate"/>
          </w:r>
          <w:r>
            <w:rPr>
              <w:rFonts w:ascii="Times New Roman" w:hAnsi="Times New Roman" w:eastAsia="Times New Roman" w:cs="Times New Roman"/>
              <w:spacing w:val="8"/>
              <w:sz w:val="23"/>
              <w:szCs w:val="23"/>
            </w:rPr>
            <w:t xml:space="preserve">1.4  </w:t>
          </w:r>
          <w:r>
            <w:rPr>
              <w:rFonts w:ascii="宋体" w:hAnsi="宋体" w:eastAsia="宋体" w:cs="宋体"/>
              <w:spacing w:val="8"/>
              <w:sz w:val="23"/>
              <w:szCs w:val="23"/>
            </w:rPr>
            <w:t>应急预案衔接性</w:t>
          </w:r>
          <w:r>
            <w:rPr>
              <w:rFonts w:ascii="宋体" w:hAnsi="宋体" w:eastAsia="宋体" w:cs="宋体"/>
              <w:spacing w:val="-85"/>
              <w:sz w:val="23"/>
              <w:szCs w:val="23"/>
            </w:rPr>
            <w:t xml:space="preserve"> </w:t>
          </w:r>
          <w:r>
            <w:rPr>
              <w:rFonts w:ascii="宋体" w:hAnsi="宋体" w:eastAsia="宋体" w:cs="宋体"/>
              <w:sz w:val="23"/>
              <w:szCs w:val="23"/>
            </w:rPr>
            <w:tab/>
          </w:r>
          <w:r>
            <w:rPr>
              <w:rFonts w:ascii="宋体" w:hAnsi="宋体" w:eastAsia="宋体" w:cs="宋体"/>
              <w:spacing w:val="-59"/>
              <w:sz w:val="23"/>
              <w:szCs w:val="23"/>
            </w:rPr>
            <w:t xml:space="preserve"> </w:t>
          </w:r>
          <w:r>
            <w:rPr>
              <w:rFonts w:ascii="Arial" w:hAnsi="Arial" w:eastAsia="Arial" w:cs="Arial"/>
              <w:sz w:val="23"/>
              <w:szCs w:val="23"/>
            </w:rPr>
            <w:t>4</w:t>
          </w:r>
          <w:r>
            <w:rPr>
              <w:rFonts w:ascii="Arial" w:hAnsi="Arial" w:eastAsia="Arial" w:cs="Arial"/>
              <w:sz w:val="23"/>
              <w:szCs w:val="23"/>
            </w:rPr>
            <w:fldChar w:fldCharType="end"/>
          </w:r>
        </w:p>
        <w:p w14:paraId="4AA69BF2">
          <w:pPr>
            <w:tabs>
              <w:tab w:val="right" w:leader="dot" w:pos="8284"/>
            </w:tabs>
            <w:spacing w:before="196" w:line="220" w:lineRule="auto"/>
            <w:ind w:left="469"/>
            <w:rPr>
              <w:rFonts w:ascii="Arial" w:hAnsi="Arial" w:eastAsia="Arial" w:cs="Arial"/>
              <w:sz w:val="23"/>
              <w:szCs w:val="23"/>
            </w:rPr>
          </w:pPr>
          <w:r>
            <w:fldChar w:fldCharType="begin"/>
          </w:r>
          <w:r>
            <w:instrText xml:space="preserve"> HYPERLINK \l "bookmark11" </w:instrText>
          </w:r>
          <w:r>
            <w:fldChar w:fldCharType="separate"/>
          </w:r>
          <w:r>
            <w:rPr>
              <w:rFonts w:ascii="Times New Roman" w:hAnsi="Times New Roman" w:eastAsia="Times New Roman" w:cs="Times New Roman"/>
              <w:color w:val="102020"/>
              <w:spacing w:val="9"/>
              <w:sz w:val="23"/>
              <w:szCs w:val="23"/>
            </w:rPr>
            <w:t xml:space="preserve">1.5  </w:t>
          </w:r>
          <w:r>
            <w:rPr>
              <w:rFonts w:ascii="宋体" w:hAnsi="宋体" w:eastAsia="宋体" w:cs="宋体"/>
              <w:color w:val="102020"/>
              <w:spacing w:val="9"/>
              <w:sz w:val="23"/>
              <w:szCs w:val="23"/>
            </w:rPr>
            <w:t>应急预案工作原则</w:t>
          </w:r>
          <w:r>
            <w:rPr>
              <w:rFonts w:ascii="宋体" w:hAnsi="宋体" w:eastAsia="宋体" w:cs="宋体"/>
              <w:color w:val="102020"/>
              <w:spacing w:val="-106"/>
              <w:sz w:val="23"/>
              <w:szCs w:val="23"/>
            </w:rPr>
            <w:t xml:space="preserve"> </w:t>
          </w:r>
          <w:r>
            <w:rPr>
              <w:rFonts w:ascii="宋体" w:hAnsi="宋体" w:eastAsia="宋体" w:cs="宋体"/>
              <w:color w:val="102020"/>
              <w:sz w:val="23"/>
              <w:szCs w:val="23"/>
            </w:rPr>
            <w:tab/>
          </w:r>
          <w:r>
            <w:rPr>
              <w:rFonts w:ascii="宋体" w:hAnsi="宋体" w:eastAsia="宋体" w:cs="宋体"/>
              <w:color w:val="102020"/>
              <w:spacing w:val="-59"/>
              <w:sz w:val="23"/>
              <w:szCs w:val="23"/>
            </w:rPr>
            <w:t xml:space="preserve"> </w:t>
          </w:r>
          <w:r>
            <w:rPr>
              <w:rFonts w:ascii="Arial" w:hAnsi="Arial" w:eastAsia="Arial" w:cs="Arial"/>
              <w:color w:val="102020"/>
              <w:sz w:val="23"/>
              <w:szCs w:val="23"/>
            </w:rPr>
            <w:t>4</w:t>
          </w:r>
          <w:r>
            <w:rPr>
              <w:rFonts w:ascii="Arial" w:hAnsi="Arial" w:eastAsia="Arial" w:cs="Arial"/>
              <w:color w:val="102020"/>
              <w:sz w:val="23"/>
              <w:szCs w:val="23"/>
            </w:rPr>
            <w:fldChar w:fldCharType="end"/>
          </w:r>
        </w:p>
        <w:p w14:paraId="6D15A515">
          <w:pPr>
            <w:tabs>
              <w:tab w:val="right" w:leader="dot" w:pos="8269"/>
            </w:tabs>
            <w:spacing w:before="153" w:line="314" w:lineRule="exact"/>
            <w:rPr>
              <w:rFonts w:ascii="Arial" w:hAnsi="Arial" w:eastAsia="Arial" w:cs="Arial"/>
              <w:sz w:val="23"/>
              <w:szCs w:val="23"/>
            </w:rPr>
          </w:pPr>
          <w:r>
            <w:fldChar w:fldCharType="begin"/>
          </w:r>
          <w:r>
            <w:instrText xml:space="preserve"> HYPERLINK \l "bookmark12" </w:instrText>
          </w:r>
          <w:r>
            <w:fldChar w:fldCharType="separate"/>
          </w:r>
          <w:r>
            <w:rPr>
              <w:rFonts w:ascii="Times New Roman" w:hAnsi="Times New Roman" w:eastAsia="Times New Roman" w:cs="Times New Roman"/>
              <w:spacing w:val="11"/>
              <w:position w:val="1"/>
              <w:sz w:val="23"/>
              <w:szCs w:val="23"/>
            </w:rPr>
            <w:t>2</w:t>
          </w:r>
          <w:r>
            <w:rPr>
              <w:rFonts w:ascii="Times New Roman" w:hAnsi="Times New Roman" w:eastAsia="Times New Roman" w:cs="Times New Roman"/>
              <w:spacing w:val="62"/>
              <w:position w:val="1"/>
              <w:sz w:val="23"/>
              <w:szCs w:val="23"/>
            </w:rPr>
            <w:t xml:space="preserve"> </w:t>
          </w:r>
          <w:r>
            <w:rPr>
              <w:rFonts w:ascii="宋体" w:hAnsi="宋体" w:eastAsia="宋体" w:cs="宋体"/>
              <w:spacing w:val="11"/>
              <w:position w:val="1"/>
              <w:sz w:val="23"/>
              <w:szCs w:val="23"/>
            </w:rPr>
            <w:t>石拐区饮用水水源地环境状况</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position w:val="1"/>
              <w:sz w:val="23"/>
              <w:szCs w:val="23"/>
            </w:rPr>
            <w:t>6</w:t>
          </w:r>
          <w:r>
            <w:rPr>
              <w:rFonts w:ascii="Arial" w:hAnsi="Arial" w:eastAsia="Arial" w:cs="Arial"/>
              <w:position w:val="1"/>
              <w:sz w:val="23"/>
              <w:szCs w:val="23"/>
            </w:rPr>
            <w:fldChar w:fldCharType="end"/>
          </w:r>
        </w:p>
        <w:p w14:paraId="0C00C032">
          <w:pPr>
            <w:tabs>
              <w:tab w:val="right" w:leader="dot" w:pos="8269"/>
            </w:tabs>
            <w:spacing w:before="136" w:line="314" w:lineRule="exact"/>
            <w:ind w:left="469"/>
            <w:rPr>
              <w:rFonts w:ascii="Arial" w:hAnsi="Arial" w:eastAsia="Arial" w:cs="Arial"/>
              <w:sz w:val="23"/>
              <w:szCs w:val="23"/>
            </w:rPr>
          </w:pPr>
          <w:r>
            <w:fldChar w:fldCharType="begin"/>
          </w:r>
          <w:r>
            <w:instrText xml:space="preserve"> HYPERLINK \l "bookmark13" </w:instrText>
          </w:r>
          <w:r>
            <w:fldChar w:fldCharType="separate"/>
          </w:r>
          <w:r>
            <w:rPr>
              <w:rFonts w:ascii="Times New Roman" w:hAnsi="Times New Roman" w:eastAsia="Times New Roman" w:cs="Times New Roman"/>
              <w:color w:val="001010"/>
              <w:spacing w:val="11"/>
              <w:position w:val="1"/>
              <w:sz w:val="23"/>
              <w:szCs w:val="23"/>
            </w:rPr>
            <w:t>2.1</w:t>
          </w:r>
          <w:r>
            <w:rPr>
              <w:rFonts w:ascii="Times New Roman" w:hAnsi="Times New Roman" w:eastAsia="Times New Roman" w:cs="Times New Roman"/>
              <w:color w:val="001010"/>
              <w:spacing w:val="2"/>
              <w:position w:val="1"/>
              <w:sz w:val="23"/>
              <w:szCs w:val="23"/>
            </w:rPr>
            <w:t xml:space="preserve">  </w:t>
          </w:r>
          <w:r>
            <w:rPr>
              <w:rFonts w:ascii="宋体" w:hAnsi="宋体" w:eastAsia="宋体" w:cs="宋体"/>
              <w:color w:val="001010"/>
              <w:spacing w:val="11"/>
              <w:position w:val="1"/>
              <w:sz w:val="23"/>
              <w:szCs w:val="23"/>
            </w:rPr>
            <w:t>石拐区饮用水水源地所在区域的自然状况</w:t>
          </w:r>
          <w:r>
            <w:rPr>
              <w:rFonts w:ascii="宋体" w:hAnsi="宋体" w:eastAsia="宋体" w:cs="宋体"/>
              <w:color w:val="001010"/>
              <w:spacing w:val="-94"/>
              <w:position w:val="1"/>
              <w:sz w:val="23"/>
              <w:szCs w:val="23"/>
            </w:rPr>
            <w:t xml:space="preserve"> </w:t>
          </w:r>
          <w:r>
            <w:rPr>
              <w:rFonts w:ascii="宋体" w:hAnsi="宋体" w:eastAsia="宋体" w:cs="宋体"/>
              <w:color w:val="001010"/>
              <w:position w:val="1"/>
              <w:sz w:val="23"/>
              <w:szCs w:val="23"/>
            </w:rPr>
            <w:tab/>
          </w:r>
          <w:r>
            <w:rPr>
              <w:rFonts w:ascii="Arial" w:hAnsi="Arial" w:eastAsia="Arial" w:cs="Arial"/>
              <w:color w:val="001010"/>
              <w:position w:val="1"/>
              <w:sz w:val="23"/>
              <w:szCs w:val="23"/>
            </w:rPr>
            <w:t>6</w:t>
          </w:r>
          <w:r>
            <w:rPr>
              <w:rFonts w:ascii="Arial" w:hAnsi="Arial" w:eastAsia="Arial" w:cs="Arial"/>
              <w:color w:val="001010"/>
              <w:position w:val="1"/>
              <w:sz w:val="23"/>
              <w:szCs w:val="23"/>
            </w:rPr>
            <w:fldChar w:fldCharType="end"/>
          </w:r>
        </w:p>
        <w:p w14:paraId="7DC38843">
          <w:pPr>
            <w:tabs>
              <w:tab w:val="right" w:leader="dot" w:pos="8279"/>
            </w:tabs>
            <w:spacing w:before="166" w:line="314" w:lineRule="exact"/>
            <w:ind w:left="949"/>
            <w:rPr>
              <w:rFonts w:ascii="Arial" w:hAnsi="Arial" w:eastAsia="Arial" w:cs="Arial"/>
              <w:sz w:val="23"/>
              <w:szCs w:val="23"/>
            </w:rPr>
          </w:pPr>
          <w:r>
            <w:fldChar w:fldCharType="begin"/>
          </w:r>
          <w:r>
            <w:instrText xml:space="preserve"> HYPERLINK \l "bookmark14" </w:instrText>
          </w:r>
          <w:r>
            <w:fldChar w:fldCharType="separate"/>
          </w:r>
          <w:r>
            <w:rPr>
              <w:rFonts w:ascii="Times New Roman" w:hAnsi="Times New Roman" w:eastAsia="Times New Roman" w:cs="Times New Roman"/>
              <w:spacing w:val="9"/>
              <w:position w:val="1"/>
              <w:sz w:val="23"/>
              <w:szCs w:val="23"/>
            </w:rPr>
            <w:t>2.1.1</w:t>
          </w:r>
          <w:r>
            <w:rPr>
              <w:rFonts w:ascii="Times New Roman" w:hAnsi="Times New Roman" w:eastAsia="Times New Roman" w:cs="Times New Roman"/>
              <w:spacing w:val="12"/>
              <w:position w:val="1"/>
              <w:sz w:val="23"/>
              <w:szCs w:val="23"/>
            </w:rPr>
            <w:t xml:space="preserve">   </w:t>
          </w:r>
          <w:r>
            <w:rPr>
              <w:rFonts w:ascii="宋体" w:hAnsi="宋体" w:eastAsia="宋体" w:cs="宋体"/>
              <w:spacing w:val="9"/>
              <w:position w:val="1"/>
              <w:sz w:val="23"/>
              <w:szCs w:val="23"/>
            </w:rPr>
            <w:t>区域自然状况</w:t>
          </w:r>
          <w:r>
            <w:rPr>
              <w:rFonts w:ascii="宋体" w:hAnsi="宋体" w:eastAsia="宋体" w:cs="宋体"/>
              <w:spacing w:val="-94"/>
              <w:position w:val="1"/>
              <w:sz w:val="23"/>
              <w:szCs w:val="23"/>
            </w:rPr>
            <w:t xml:space="preserve"> </w:t>
          </w:r>
          <w:r>
            <w:rPr>
              <w:rFonts w:ascii="宋体" w:hAnsi="宋体" w:eastAsia="宋体" w:cs="宋体"/>
              <w:position w:val="1"/>
              <w:sz w:val="23"/>
              <w:szCs w:val="23"/>
            </w:rPr>
            <w:tab/>
          </w:r>
          <w:r>
            <w:rPr>
              <w:rFonts w:ascii="Arial" w:hAnsi="Arial" w:eastAsia="Arial" w:cs="Arial"/>
              <w:position w:val="1"/>
              <w:sz w:val="23"/>
              <w:szCs w:val="23"/>
            </w:rPr>
            <w:t>6</w:t>
          </w:r>
          <w:r>
            <w:rPr>
              <w:rFonts w:ascii="Arial" w:hAnsi="Arial" w:eastAsia="Arial" w:cs="Arial"/>
              <w:position w:val="1"/>
              <w:sz w:val="23"/>
              <w:szCs w:val="23"/>
            </w:rPr>
            <w:fldChar w:fldCharType="end"/>
          </w:r>
        </w:p>
        <w:p w14:paraId="3E614EA6">
          <w:pPr>
            <w:tabs>
              <w:tab w:val="right" w:leader="dot" w:pos="8279"/>
            </w:tabs>
            <w:spacing w:before="156" w:line="314" w:lineRule="exact"/>
            <w:ind w:left="949"/>
            <w:rPr>
              <w:rFonts w:ascii="Arial" w:hAnsi="Arial" w:eastAsia="Arial" w:cs="Arial"/>
              <w:sz w:val="23"/>
              <w:szCs w:val="23"/>
            </w:rPr>
          </w:pPr>
          <w:r>
            <w:fldChar w:fldCharType="begin"/>
          </w:r>
          <w:r>
            <w:instrText xml:space="preserve"> HYPERLINK \l "bookmark15" </w:instrText>
          </w:r>
          <w:r>
            <w:fldChar w:fldCharType="separate"/>
          </w:r>
          <w:r>
            <w:rPr>
              <w:rFonts w:ascii="Times New Roman" w:hAnsi="Times New Roman" w:eastAsia="Times New Roman" w:cs="Times New Roman"/>
              <w:spacing w:val="8"/>
              <w:position w:val="1"/>
              <w:sz w:val="23"/>
              <w:szCs w:val="23"/>
            </w:rPr>
            <w:t xml:space="preserve">2.1.2   </w:t>
          </w:r>
          <w:r>
            <w:rPr>
              <w:rFonts w:ascii="宋体" w:hAnsi="宋体" w:eastAsia="宋体" w:cs="宋体"/>
              <w:spacing w:val="8"/>
              <w:position w:val="1"/>
              <w:sz w:val="23"/>
              <w:szCs w:val="23"/>
            </w:rPr>
            <w:t>流域自然状况及水文地质特征</w:t>
          </w:r>
          <w:r>
            <w:rPr>
              <w:rFonts w:ascii="宋体" w:hAnsi="宋体" w:eastAsia="宋体" w:cs="宋体"/>
              <w:spacing w:val="-87"/>
              <w:position w:val="1"/>
              <w:sz w:val="23"/>
              <w:szCs w:val="23"/>
            </w:rPr>
            <w:t xml:space="preserve"> </w:t>
          </w:r>
          <w:r>
            <w:rPr>
              <w:rFonts w:ascii="宋体" w:hAnsi="宋体" w:eastAsia="宋体" w:cs="宋体"/>
              <w:position w:val="1"/>
              <w:sz w:val="23"/>
              <w:szCs w:val="23"/>
            </w:rPr>
            <w:tab/>
          </w:r>
          <w:r>
            <w:rPr>
              <w:rFonts w:ascii="Arial" w:hAnsi="Arial" w:eastAsia="Arial" w:cs="Arial"/>
              <w:position w:val="1"/>
              <w:sz w:val="23"/>
              <w:szCs w:val="23"/>
            </w:rPr>
            <w:t>6</w:t>
          </w:r>
          <w:r>
            <w:rPr>
              <w:rFonts w:ascii="Arial" w:hAnsi="Arial" w:eastAsia="Arial" w:cs="Arial"/>
              <w:position w:val="1"/>
              <w:sz w:val="23"/>
              <w:szCs w:val="23"/>
            </w:rPr>
            <w:fldChar w:fldCharType="end"/>
          </w:r>
        </w:p>
        <w:p w14:paraId="2899659E">
          <w:pPr>
            <w:tabs>
              <w:tab w:val="right" w:leader="dot" w:pos="8285"/>
            </w:tabs>
            <w:spacing w:before="198" w:line="219" w:lineRule="auto"/>
            <w:ind w:left="949"/>
            <w:rPr>
              <w:rFonts w:ascii="Arial" w:hAnsi="Arial" w:eastAsia="Arial" w:cs="Arial"/>
              <w:sz w:val="23"/>
              <w:szCs w:val="23"/>
            </w:rPr>
          </w:pPr>
          <w:r>
            <w:fldChar w:fldCharType="begin"/>
          </w:r>
          <w:r>
            <w:instrText xml:space="preserve"> HYPERLINK \l "bookmark16" </w:instrText>
          </w:r>
          <w:r>
            <w:fldChar w:fldCharType="separate"/>
          </w:r>
          <w:r>
            <w:rPr>
              <w:rFonts w:ascii="Times New Roman" w:hAnsi="Times New Roman" w:eastAsia="Times New Roman" w:cs="Times New Roman"/>
              <w:spacing w:val="9"/>
              <w:sz w:val="23"/>
              <w:szCs w:val="23"/>
            </w:rPr>
            <w:t xml:space="preserve">2.1.3   </w:t>
          </w:r>
          <w:r>
            <w:rPr>
              <w:rFonts w:ascii="宋体" w:hAnsi="宋体" w:eastAsia="宋体" w:cs="宋体"/>
              <w:spacing w:val="9"/>
              <w:sz w:val="23"/>
              <w:szCs w:val="23"/>
            </w:rPr>
            <w:t>水源地自然特征</w:t>
          </w:r>
          <w:r>
            <w:rPr>
              <w:rFonts w:ascii="宋体" w:hAnsi="宋体" w:eastAsia="宋体" w:cs="宋体"/>
              <w:spacing w:val="-84"/>
              <w:sz w:val="23"/>
              <w:szCs w:val="23"/>
            </w:rPr>
            <w:t xml:space="preserve"> </w:t>
          </w:r>
          <w:r>
            <w:rPr>
              <w:rFonts w:ascii="宋体" w:hAnsi="宋体" w:eastAsia="宋体" w:cs="宋体"/>
              <w:sz w:val="23"/>
              <w:szCs w:val="23"/>
            </w:rPr>
            <w:tab/>
          </w:r>
          <w:r>
            <w:rPr>
              <w:rFonts w:ascii="Arial" w:hAnsi="Arial" w:eastAsia="Arial" w:cs="Arial"/>
              <w:sz w:val="23"/>
              <w:szCs w:val="23"/>
            </w:rPr>
            <w:t>7</w:t>
          </w:r>
          <w:r>
            <w:rPr>
              <w:rFonts w:ascii="Arial" w:hAnsi="Arial" w:eastAsia="Arial" w:cs="Arial"/>
              <w:sz w:val="23"/>
              <w:szCs w:val="23"/>
            </w:rPr>
            <w:fldChar w:fldCharType="end"/>
          </w:r>
        </w:p>
        <w:p w14:paraId="1FC791CD">
          <w:pPr>
            <w:tabs>
              <w:tab w:val="right" w:leader="dot" w:pos="8285"/>
            </w:tabs>
            <w:spacing w:before="195" w:line="219" w:lineRule="auto"/>
            <w:ind w:left="469"/>
            <w:rPr>
              <w:rFonts w:ascii="Arial" w:hAnsi="Arial" w:eastAsia="Arial" w:cs="Arial"/>
              <w:sz w:val="23"/>
              <w:szCs w:val="23"/>
            </w:rPr>
          </w:pPr>
          <w:r>
            <w:fldChar w:fldCharType="begin"/>
          </w:r>
          <w:r>
            <w:instrText xml:space="preserve"> HYPERLINK \l "bookmark17" </w:instrText>
          </w:r>
          <w:r>
            <w:fldChar w:fldCharType="separate"/>
          </w:r>
          <w:r>
            <w:rPr>
              <w:rFonts w:ascii="Times New Roman" w:hAnsi="Times New Roman" w:eastAsia="Times New Roman" w:cs="Times New Roman"/>
              <w:color w:val="102020"/>
              <w:spacing w:val="10"/>
              <w:sz w:val="23"/>
              <w:szCs w:val="23"/>
            </w:rPr>
            <w:t xml:space="preserve">2.2  </w:t>
          </w:r>
          <w:r>
            <w:rPr>
              <w:rFonts w:ascii="宋体" w:hAnsi="宋体" w:eastAsia="宋体" w:cs="宋体"/>
              <w:color w:val="102020"/>
              <w:spacing w:val="10"/>
              <w:sz w:val="23"/>
              <w:szCs w:val="23"/>
            </w:rPr>
            <w:t>石拐区饮用水水源地所在区域社会经济状况</w:t>
          </w:r>
          <w:r>
            <w:rPr>
              <w:rFonts w:ascii="宋体" w:hAnsi="宋体" w:eastAsia="宋体" w:cs="宋体"/>
              <w:color w:val="102020"/>
              <w:spacing w:val="-89"/>
              <w:sz w:val="23"/>
              <w:szCs w:val="23"/>
            </w:rPr>
            <w:t xml:space="preserve"> </w:t>
          </w:r>
          <w:r>
            <w:rPr>
              <w:rFonts w:ascii="宋体" w:hAnsi="宋体" w:eastAsia="宋体" w:cs="宋体"/>
              <w:color w:val="102020"/>
              <w:sz w:val="23"/>
              <w:szCs w:val="23"/>
            </w:rPr>
            <w:tab/>
          </w:r>
          <w:r>
            <w:rPr>
              <w:rFonts w:ascii="Arial" w:hAnsi="Arial" w:eastAsia="Arial" w:cs="Arial"/>
              <w:color w:val="102020"/>
              <w:sz w:val="23"/>
              <w:szCs w:val="23"/>
            </w:rPr>
            <w:t>7</w:t>
          </w:r>
          <w:r>
            <w:rPr>
              <w:rFonts w:ascii="Arial" w:hAnsi="Arial" w:eastAsia="Arial" w:cs="Arial"/>
              <w:color w:val="102020"/>
              <w:sz w:val="23"/>
              <w:szCs w:val="23"/>
            </w:rPr>
            <w:fldChar w:fldCharType="end"/>
          </w:r>
        </w:p>
        <w:p w14:paraId="0E701C65">
          <w:pPr>
            <w:tabs>
              <w:tab w:val="right" w:leader="dot" w:pos="8275"/>
            </w:tabs>
            <w:spacing w:before="189" w:line="219" w:lineRule="auto"/>
            <w:ind w:left="949"/>
            <w:rPr>
              <w:rFonts w:ascii="Arial" w:hAnsi="Arial" w:eastAsia="Arial" w:cs="Arial"/>
              <w:sz w:val="23"/>
              <w:szCs w:val="23"/>
            </w:rPr>
          </w:pPr>
          <w:r>
            <w:fldChar w:fldCharType="begin"/>
          </w:r>
          <w:r>
            <w:instrText xml:space="preserve"> HYPERLINK \l "bookmark18" </w:instrText>
          </w:r>
          <w:r>
            <w:fldChar w:fldCharType="separate"/>
          </w:r>
          <w:r>
            <w:rPr>
              <w:rFonts w:ascii="Times New Roman" w:hAnsi="Times New Roman" w:eastAsia="Times New Roman" w:cs="Times New Roman"/>
              <w:color w:val="304040"/>
              <w:spacing w:val="10"/>
              <w:sz w:val="23"/>
              <w:szCs w:val="23"/>
            </w:rPr>
            <w:t>2.2.1</w:t>
          </w:r>
          <w:r>
            <w:rPr>
              <w:rFonts w:ascii="Times New Roman" w:hAnsi="Times New Roman" w:eastAsia="Times New Roman" w:cs="Times New Roman"/>
              <w:color w:val="304040"/>
              <w:spacing w:val="1"/>
              <w:sz w:val="23"/>
              <w:szCs w:val="23"/>
            </w:rPr>
            <w:t xml:space="preserve">   </w:t>
          </w:r>
          <w:r>
            <w:rPr>
              <w:rFonts w:ascii="宋体" w:hAnsi="宋体" w:eastAsia="宋体" w:cs="宋体"/>
              <w:color w:val="304040"/>
              <w:spacing w:val="10"/>
              <w:sz w:val="23"/>
              <w:szCs w:val="23"/>
            </w:rPr>
            <w:t>行政区划与人口数量</w:t>
          </w:r>
          <w:r>
            <w:rPr>
              <w:rFonts w:ascii="宋体" w:hAnsi="宋体" w:eastAsia="宋体" w:cs="宋体"/>
              <w:color w:val="304040"/>
              <w:spacing w:val="-92"/>
              <w:sz w:val="23"/>
              <w:szCs w:val="23"/>
            </w:rPr>
            <w:t xml:space="preserve"> </w:t>
          </w:r>
          <w:r>
            <w:rPr>
              <w:rFonts w:ascii="宋体" w:hAnsi="宋体" w:eastAsia="宋体" w:cs="宋体"/>
              <w:color w:val="304040"/>
              <w:sz w:val="23"/>
              <w:szCs w:val="23"/>
            </w:rPr>
            <w:tab/>
          </w:r>
          <w:r>
            <w:rPr>
              <w:rFonts w:ascii="Arial" w:hAnsi="Arial" w:eastAsia="Arial" w:cs="Arial"/>
              <w:color w:val="304040"/>
              <w:sz w:val="23"/>
              <w:szCs w:val="23"/>
            </w:rPr>
            <w:t>7</w:t>
          </w:r>
          <w:r>
            <w:rPr>
              <w:rFonts w:ascii="Arial" w:hAnsi="Arial" w:eastAsia="Arial" w:cs="Arial"/>
              <w:color w:val="304040"/>
              <w:sz w:val="23"/>
              <w:szCs w:val="23"/>
            </w:rPr>
            <w:fldChar w:fldCharType="end"/>
          </w:r>
        </w:p>
        <w:p w14:paraId="26DBC658">
          <w:pPr>
            <w:tabs>
              <w:tab w:val="right" w:leader="dot" w:pos="8275"/>
            </w:tabs>
            <w:spacing w:before="198" w:line="220" w:lineRule="auto"/>
            <w:ind w:left="949"/>
            <w:rPr>
              <w:rFonts w:ascii="Arial" w:hAnsi="Arial" w:eastAsia="Arial" w:cs="Arial"/>
              <w:sz w:val="23"/>
              <w:szCs w:val="23"/>
            </w:rPr>
          </w:pPr>
          <w:r>
            <w:fldChar w:fldCharType="begin"/>
          </w:r>
          <w:r>
            <w:instrText xml:space="preserve"> HYPERLINK \l "bookmark19" </w:instrText>
          </w:r>
          <w:r>
            <w:fldChar w:fldCharType="separate"/>
          </w:r>
          <w:r>
            <w:rPr>
              <w:rFonts w:ascii="Times New Roman" w:hAnsi="Times New Roman" w:eastAsia="Times New Roman" w:cs="Times New Roman"/>
              <w:color w:val="001010"/>
              <w:spacing w:val="11"/>
              <w:sz w:val="23"/>
              <w:szCs w:val="23"/>
            </w:rPr>
            <w:t>2.2.2</w:t>
          </w:r>
          <w:r>
            <w:rPr>
              <w:rFonts w:ascii="Times New Roman" w:hAnsi="Times New Roman" w:eastAsia="Times New Roman" w:cs="Times New Roman"/>
              <w:color w:val="001010"/>
              <w:spacing w:val="2"/>
              <w:sz w:val="23"/>
              <w:szCs w:val="23"/>
            </w:rPr>
            <w:t xml:space="preserve">   </w:t>
          </w:r>
          <w:r>
            <w:rPr>
              <w:rFonts w:ascii="宋体" w:hAnsi="宋体" w:eastAsia="宋体" w:cs="宋体"/>
              <w:color w:val="001010"/>
              <w:spacing w:val="11"/>
              <w:sz w:val="23"/>
              <w:szCs w:val="23"/>
            </w:rPr>
            <w:t>经济情况</w:t>
          </w:r>
          <w:r>
            <w:rPr>
              <w:rFonts w:ascii="宋体" w:hAnsi="宋体" w:eastAsia="宋体" w:cs="宋体"/>
              <w:color w:val="001010"/>
              <w:spacing w:val="-94"/>
              <w:sz w:val="23"/>
              <w:szCs w:val="23"/>
            </w:rPr>
            <w:t xml:space="preserve"> </w:t>
          </w:r>
          <w:r>
            <w:rPr>
              <w:rFonts w:ascii="宋体" w:hAnsi="宋体" w:eastAsia="宋体" w:cs="宋体"/>
              <w:color w:val="001010"/>
              <w:sz w:val="23"/>
              <w:szCs w:val="23"/>
            </w:rPr>
            <w:tab/>
          </w:r>
          <w:r>
            <w:rPr>
              <w:rFonts w:ascii="宋体" w:hAnsi="宋体" w:eastAsia="宋体" w:cs="宋体"/>
              <w:color w:val="001010"/>
              <w:spacing w:val="-79"/>
              <w:sz w:val="23"/>
              <w:szCs w:val="23"/>
            </w:rPr>
            <w:t xml:space="preserve"> </w:t>
          </w:r>
          <w:r>
            <w:rPr>
              <w:rFonts w:ascii="Arial" w:hAnsi="Arial" w:eastAsia="Arial" w:cs="Arial"/>
              <w:color w:val="001010"/>
              <w:sz w:val="23"/>
              <w:szCs w:val="23"/>
            </w:rPr>
            <w:t>7</w:t>
          </w:r>
          <w:r>
            <w:rPr>
              <w:rFonts w:ascii="Arial" w:hAnsi="Arial" w:eastAsia="Arial" w:cs="Arial"/>
              <w:color w:val="001010"/>
              <w:sz w:val="23"/>
              <w:szCs w:val="23"/>
            </w:rPr>
            <w:fldChar w:fldCharType="end"/>
          </w:r>
        </w:p>
        <w:p w14:paraId="32188EE7">
          <w:pPr>
            <w:tabs>
              <w:tab w:val="right" w:leader="dot" w:pos="8277"/>
            </w:tabs>
            <w:spacing w:before="154" w:line="313" w:lineRule="exact"/>
            <w:ind w:left="949"/>
            <w:rPr>
              <w:rFonts w:ascii="Arial" w:hAnsi="Arial" w:eastAsia="Arial" w:cs="Arial"/>
              <w:sz w:val="23"/>
              <w:szCs w:val="23"/>
            </w:rPr>
          </w:pPr>
          <w:r>
            <w:fldChar w:fldCharType="begin"/>
          </w:r>
          <w:r>
            <w:instrText xml:space="preserve"> HYPERLINK \l "bookmark20" </w:instrText>
          </w:r>
          <w:r>
            <w:fldChar w:fldCharType="separate"/>
          </w:r>
          <w:r>
            <w:rPr>
              <w:rFonts w:ascii="Times New Roman" w:hAnsi="Times New Roman" w:eastAsia="Times New Roman" w:cs="Times New Roman"/>
              <w:color w:val="305050"/>
              <w:spacing w:val="10"/>
              <w:position w:val="1"/>
              <w:sz w:val="23"/>
              <w:szCs w:val="23"/>
            </w:rPr>
            <w:t>2.2.3</w:t>
          </w:r>
          <w:r>
            <w:rPr>
              <w:rFonts w:ascii="Times New Roman" w:hAnsi="Times New Roman" w:eastAsia="Times New Roman" w:cs="Times New Roman"/>
              <w:color w:val="305050"/>
              <w:spacing w:val="2"/>
              <w:position w:val="1"/>
              <w:sz w:val="23"/>
              <w:szCs w:val="23"/>
            </w:rPr>
            <w:t xml:space="preserve">   </w:t>
          </w:r>
          <w:r>
            <w:rPr>
              <w:rFonts w:ascii="宋体" w:hAnsi="宋体" w:eastAsia="宋体" w:cs="宋体"/>
              <w:color w:val="305050"/>
              <w:spacing w:val="10"/>
              <w:position w:val="1"/>
              <w:sz w:val="23"/>
              <w:szCs w:val="23"/>
            </w:rPr>
            <w:t>饮用水水源地周边城乡土地使用状况</w:t>
          </w:r>
          <w:r>
            <w:rPr>
              <w:rFonts w:ascii="宋体" w:hAnsi="宋体" w:eastAsia="宋体" w:cs="宋体"/>
              <w:color w:val="305050"/>
              <w:spacing w:val="-95"/>
              <w:position w:val="1"/>
              <w:sz w:val="23"/>
              <w:szCs w:val="23"/>
            </w:rPr>
            <w:t xml:space="preserve"> </w:t>
          </w:r>
          <w:r>
            <w:rPr>
              <w:rFonts w:ascii="宋体" w:hAnsi="宋体" w:eastAsia="宋体" w:cs="宋体"/>
              <w:color w:val="305050"/>
              <w:position w:val="1"/>
              <w:sz w:val="23"/>
              <w:szCs w:val="23"/>
            </w:rPr>
            <w:tab/>
          </w:r>
          <w:r>
            <w:rPr>
              <w:rFonts w:ascii="Arial" w:hAnsi="Arial" w:eastAsia="Arial" w:cs="Arial"/>
              <w:color w:val="305050"/>
              <w:position w:val="1"/>
              <w:sz w:val="23"/>
              <w:szCs w:val="23"/>
            </w:rPr>
            <w:t>9</w:t>
          </w:r>
          <w:r>
            <w:rPr>
              <w:rFonts w:ascii="Arial" w:hAnsi="Arial" w:eastAsia="Arial" w:cs="Arial"/>
              <w:color w:val="305050"/>
              <w:position w:val="1"/>
              <w:sz w:val="23"/>
              <w:szCs w:val="23"/>
            </w:rPr>
            <w:fldChar w:fldCharType="end"/>
          </w:r>
        </w:p>
        <w:p w14:paraId="518B6379">
          <w:pPr>
            <w:tabs>
              <w:tab w:val="right" w:leader="dot" w:pos="8290"/>
            </w:tabs>
            <w:spacing w:before="157" w:line="314" w:lineRule="exact"/>
            <w:rPr>
              <w:rFonts w:ascii="Arial" w:hAnsi="Arial" w:eastAsia="Arial" w:cs="Arial"/>
              <w:sz w:val="23"/>
              <w:szCs w:val="23"/>
            </w:rPr>
          </w:pPr>
          <w:r>
            <w:fldChar w:fldCharType="begin"/>
          </w:r>
          <w:r>
            <w:instrText xml:space="preserve"> HYPERLINK \l "bookmark21" </w:instrText>
          </w:r>
          <w:r>
            <w:fldChar w:fldCharType="separate"/>
          </w:r>
          <w:r>
            <w:rPr>
              <w:rFonts w:ascii="Times New Roman" w:hAnsi="Times New Roman" w:eastAsia="Times New Roman" w:cs="Times New Roman"/>
              <w:spacing w:val="10"/>
              <w:position w:val="1"/>
              <w:sz w:val="23"/>
              <w:szCs w:val="23"/>
            </w:rPr>
            <w:t xml:space="preserve">3  </w:t>
          </w:r>
          <w:r>
            <w:rPr>
              <w:rFonts w:ascii="宋体" w:hAnsi="宋体" w:eastAsia="宋体" w:cs="宋体"/>
              <w:spacing w:val="10"/>
              <w:position w:val="1"/>
              <w:sz w:val="23"/>
              <w:szCs w:val="23"/>
            </w:rPr>
            <w:t>应急组织指挥体系</w:t>
          </w:r>
          <w:r>
            <w:rPr>
              <w:rFonts w:ascii="宋体" w:hAnsi="宋体" w:eastAsia="宋体" w:cs="宋体"/>
              <w:spacing w:val="-106"/>
              <w:position w:val="1"/>
              <w:sz w:val="23"/>
              <w:szCs w:val="23"/>
            </w:rPr>
            <w:t xml:space="preserve"> </w:t>
          </w:r>
          <w:r>
            <w:rPr>
              <w:rFonts w:ascii="宋体" w:hAnsi="宋体" w:eastAsia="宋体" w:cs="宋体"/>
              <w:position w:val="1"/>
              <w:sz w:val="23"/>
              <w:szCs w:val="23"/>
            </w:rPr>
            <w:tab/>
          </w:r>
          <w:r>
            <w:rPr>
              <w:rFonts w:ascii="Arial" w:hAnsi="Arial" w:eastAsia="Arial" w:cs="Arial"/>
              <w:spacing w:val="-6"/>
              <w:position w:val="1"/>
              <w:sz w:val="23"/>
              <w:szCs w:val="23"/>
            </w:rPr>
            <w:t>10</w:t>
          </w:r>
          <w:r>
            <w:rPr>
              <w:rFonts w:ascii="Arial" w:hAnsi="Arial" w:eastAsia="Arial" w:cs="Arial"/>
              <w:spacing w:val="-6"/>
              <w:position w:val="1"/>
              <w:sz w:val="23"/>
              <w:szCs w:val="23"/>
            </w:rPr>
            <w:fldChar w:fldCharType="end"/>
          </w:r>
        </w:p>
        <w:p w14:paraId="42035828">
          <w:pPr>
            <w:tabs>
              <w:tab w:val="right" w:leader="dot" w:pos="8290"/>
            </w:tabs>
            <w:spacing w:before="155" w:line="313" w:lineRule="exact"/>
            <w:ind w:left="469"/>
            <w:rPr>
              <w:rFonts w:ascii="Arial" w:hAnsi="Arial" w:eastAsia="Arial" w:cs="Arial"/>
              <w:sz w:val="23"/>
              <w:szCs w:val="23"/>
            </w:rPr>
          </w:pPr>
          <w:r>
            <w:fldChar w:fldCharType="begin"/>
          </w:r>
          <w:r>
            <w:instrText xml:space="preserve"> HYPERLINK \l "bookmark22" </w:instrText>
          </w:r>
          <w:r>
            <w:fldChar w:fldCharType="separate"/>
          </w:r>
          <w:r>
            <w:rPr>
              <w:rFonts w:ascii="Times New Roman" w:hAnsi="Times New Roman" w:eastAsia="Times New Roman" w:cs="Times New Roman"/>
              <w:spacing w:val="9"/>
              <w:position w:val="1"/>
              <w:sz w:val="23"/>
              <w:szCs w:val="23"/>
            </w:rPr>
            <w:t xml:space="preserve">3.1  </w:t>
          </w:r>
          <w:r>
            <w:rPr>
              <w:rFonts w:ascii="宋体" w:hAnsi="宋体" w:eastAsia="宋体" w:cs="宋体"/>
              <w:color w:val="101020"/>
              <w:spacing w:val="9"/>
              <w:position w:val="1"/>
              <w:sz w:val="23"/>
              <w:szCs w:val="23"/>
            </w:rPr>
            <w:t>应</w:t>
          </w:r>
          <w:r>
            <w:rPr>
              <w:rFonts w:ascii="宋体" w:hAnsi="宋体" w:eastAsia="宋体" w:cs="宋体"/>
              <w:spacing w:val="9"/>
              <w:position w:val="1"/>
              <w:sz w:val="23"/>
              <w:szCs w:val="23"/>
            </w:rPr>
            <w:t>急组织指挥机构构成</w:t>
          </w:r>
          <w:r>
            <w:rPr>
              <w:rFonts w:ascii="宋体" w:hAnsi="宋体" w:eastAsia="宋体" w:cs="宋体"/>
              <w:spacing w:val="-84"/>
              <w:position w:val="1"/>
              <w:sz w:val="23"/>
              <w:szCs w:val="23"/>
            </w:rPr>
            <w:t xml:space="preserve"> </w:t>
          </w:r>
          <w:r>
            <w:rPr>
              <w:rFonts w:ascii="宋体" w:hAnsi="宋体" w:eastAsia="宋体" w:cs="宋体"/>
              <w:position w:val="1"/>
              <w:sz w:val="23"/>
              <w:szCs w:val="23"/>
            </w:rPr>
            <w:tab/>
          </w:r>
          <w:r>
            <w:rPr>
              <w:rFonts w:ascii="Arial" w:hAnsi="Arial" w:eastAsia="Arial" w:cs="Arial"/>
              <w:spacing w:val="-6"/>
              <w:position w:val="1"/>
              <w:sz w:val="23"/>
              <w:szCs w:val="23"/>
            </w:rPr>
            <w:t>10</w:t>
          </w:r>
          <w:r>
            <w:rPr>
              <w:rFonts w:ascii="Arial" w:hAnsi="Arial" w:eastAsia="Arial" w:cs="Arial"/>
              <w:spacing w:val="-6"/>
              <w:position w:val="1"/>
              <w:sz w:val="23"/>
              <w:szCs w:val="23"/>
            </w:rPr>
            <w:fldChar w:fldCharType="end"/>
          </w:r>
        </w:p>
        <w:p w14:paraId="6444426C">
          <w:pPr>
            <w:tabs>
              <w:tab w:val="right" w:leader="dot" w:pos="8290"/>
            </w:tabs>
            <w:spacing w:before="157" w:line="313" w:lineRule="exact"/>
            <w:ind w:left="949"/>
            <w:rPr>
              <w:rFonts w:ascii="Arial" w:hAnsi="Arial" w:eastAsia="Arial" w:cs="Arial"/>
              <w:sz w:val="23"/>
              <w:szCs w:val="23"/>
            </w:rPr>
          </w:pPr>
          <w:r>
            <w:fldChar w:fldCharType="begin"/>
          </w:r>
          <w:r>
            <w:instrText xml:space="preserve"> HYPERLINK \l "bookmark23" </w:instrText>
          </w:r>
          <w:r>
            <w:fldChar w:fldCharType="separate"/>
          </w:r>
          <w:r>
            <w:rPr>
              <w:rFonts w:ascii="Times New Roman" w:hAnsi="Times New Roman" w:eastAsia="Times New Roman" w:cs="Times New Roman"/>
              <w:spacing w:val="8"/>
              <w:position w:val="1"/>
              <w:sz w:val="23"/>
              <w:szCs w:val="23"/>
            </w:rPr>
            <w:t>3.1.1</w:t>
          </w:r>
          <w:r>
            <w:rPr>
              <w:rFonts w:ascii="Times New Roman" w:hAnsi="Times New Roman" w:eastAsia="Times New Roman" w:cs="Times New Roman"/>
              <w:spacing w:val="22"/>
              <w:w w:val="101"/>
              <w:position w:val="1"/>
              <w:sz w:val="23"/>
              <w:szCs w:val="23"/>
            </w:rPr>
            <w:t xml:space="preserve"> </w:t>
          </w:r>
          <w:r>
            <w:rPr>
              <w:rFonts w:ascii="宋体" w:hAnsi="宋体" w:eastAsia="宋体" w:cs="宋体"/>
              <w:spacing w:val="8"/>
              <w:position w:val="1"/>
              <w:sz w:val="23"/>
              <w:szCs w:val="23"/>
            </w:rPr>
            <w:t>应急组织指挥机构</w:t>
          </w:r>
          <w:r>
            <w:rPr>
              <w:rFonts w:ascii="宋体" w:hAnsi="宋体" w:eastAsia="宋体" w:cs="宋体"/>
              <w:spacing w:val="-101"/>
              <w:position w:val="1"/>
              <w:sz w:val="23"/>
              <w:szCs w:val="23"/>
            </w:rPr>
            <w:t xml:space="preserve"> </w:t>
          </w:r>
          <w:r>
            <w:rPr>
              <w:rFonts w:ascii="宋体" w:hAnsi="宋体" w:eastAsia="宋体" w:cs="宋体"/>
              <w:position w:val="1"/>
              <w:sz w:val="23"/>
              <w:szCs w:val="23"/>
            </w:rPr>
            <w:tab/>
          </w:r>
          <w:r>
            <w:rPr>
              <w:rFonts w:ascii="Arial" w:hAnsi="Arial" w:eastAsia="Arial" w:cs="Arial"/>
              <w:spacing w:val="5"/>
              <w:position w:val="1"/>
              <w:sz w:val="23"/>
              <w:szCs w:val="23"/>
            </w:rPr>
            <w:t>10</w:t>
          </w:r>
          <w:r>
            <w:rPr>
              <w:rFonts w:ascii="Arial" w:hAnsi="Arial" w:eastAsia="Arial" w:cs="Arial"/>
              <w:spacing w:val="5"/>
              <w:position w:val="1"/>
              <w:sz w:val="23"/>
              <w:szCs w:val="23"/>
            </w:rPr>
            <w:fldChar w:fldCharType="end"/>
          </w:r>
        </w:p>
        <w:p w14:paraId="0555ED29">
          <w:pPr>
            <w:tabs>
              <w:tab w:val="right" w:leader="dot" w:pos="8280"/>
            </w:tabs>
            <w:spacing w:before="158" w:line="313" w:lineRule="exact"/>
            <w:ind w:left="469"/>
            <w:rPr>
              <w:rFonts w:ascii="Arial" w:hAnsi="Arial" w:eastAsia="Arial" w:cs="Arial"/>
              <w:sz w:val="23"/>
              <w:szCs w:val="23"/>
            </w:rPr>
          </w:pPr>
          <w:r>
            <w:fldChar w:fldCharType="begin"/>
          </w:r>
          <w:r>
            <w:instrText xml:space="preserve"> HYPERLINK \l "bookmark24" </w:instrText>
          </w:r>
          <w:r>
            <w:fldChar w:fldCharType="separate"/>
          </w:r>
          <w:r>
            <w:rPr>
              <w:rFonts w:ascii="Times New Roman" w:hAnsi="Times New Roman" w:eastAsia="Times New Roman" w:cs="Times New Roman"/>
              <w:spacing w:val="9"/>
              <w:position w:val="1"/>
              <w:sz w:val="23"/>
              <w:szCs w:val="23"/>
            </w:rPr>
            <w:t xml:space="preserve">3.2  </w:t>
          </w:r>
          <w:r>
            <w:rPr>
              <w:rFonts w:ascii="宋体" w:hAnsi="宋体" w:eastAsia="宋体" w:cs="宋体"/>
              <w:color w:val="506060"/>
              <w:spacing w:val="9"/>
              <w:position w:val="1"/>
              <w:sz w:val="23"/>
              <w:szCs w:val="23"/>
            </w:rPr>
            <w:t>现</w:t>
          </w:r>
          <w:r>
            <w:rPr>
              <w:rFonts w:ascii="宋体" w:hAnsi="宋体" w:eastAsia="宋体" w:cs="宋体"/>
              <w:spacing w:val="9"/>
              <w:position w:val="1"/>
              <w:sz w:val="23"/>
              <w:szCs w:val="23"/>
            </w:rPr>
            <w:t>场应急指挥部</w:t>
          </w:r>
          <w:r>
            <w:rPr>
              <w:rFonts w:ascii="宋体" w:hAnsi="宋体" w:eastAsia="宋体" w:cs="宋体"/>
              <w:spacing w:val="-97"/>
              <w:position w:val="1"/>
              <w:sz w:val="23"/>
              <w:szCs w:val="23"/>
            </w:rPr>
            <w:t xml:space="preserve"> </w:t>
          </w:r>
          <w:r>
            <w:rPr>
              <w:rFonts w:ascii="宋体" w:hAnsi="宋体" w:eastAsia="宋体" w:cs="宋体"/>
              <w:position w:val="1"/>
              <w:sz w:val="23"/>
              <w:szCs w:val="23"/>
            </w:rPr>
            <w:tab/>
          </w:r>
          <w:r>
            <w:rPr>
              <w:rFonts w:ascii="Arial" w:hAnsi="Arial" w:eastAsia="Arial" w:cs="Arial"/>
              <w:spacing w:val="-6"/>
              <w:position w:val="1"/>
              <w:sz w:val="23"/>
              <w:szCs w:val="23"/>
            </w:rPr>
            <w:t>15</w:t>
          </w:r>
          <w:r>
            <w:rPr>
              <w:rFonts w:ascii="Arial" w:hAnsi="Arial" w:eastAsia="Arial" w:cs="Arial"/>
              <w:spacing w:val="-6"/>
              <w:position w:val="1"/>
              <w:sz w:val="23"/>
              <w:szCs w:val="23"/>
            </w:rPr>
            <w:fldChar w:fldCharType="end"/>
          </w:r>
        </w:p>
        <w:p w14:paraId="617B2399">
          <w:pPr>
            <w:tabs>
              <w:tab w:val="right" w:leader="dot" w:pos="8290"/>
            </w:tabs>
            <w:spacing w:before="147" w:line="314" w:lineRule="exact"/>
            <w:ind w:left="469"/>
            <w:rPr>
              <w:rFonts w:ascii="Arial" w:hAnsi="Arial" w:eastAsia="Arial" w:cs="Arial"/>
              <w:sz w:val="23"/>
              <w:szCs w:val="23"/>
            </w:rPr>
          </w:pPr>
          <w:r>
            <w:fldChar w:fldCharType="begin"/>
          </w:r>
          <w:r>
            <w:instrText xml:space="preserve"> HYPERLINK \l "bookmark25" </w:instrText>
          </w:r>
          <w:r>
            <w:fldChar w:fldCharType="separate"/>
          </w:r>
          <w:r>
            <w:rPr>
              <w:rFonts w:ascii="Times New Roman" w:hAnsi="Times New Roman" w:eastAsia="Times New Roman" w:cs="Times New Roman"/>
              <w:color w:val="202030"/>
              <w:spacing w:val="9"/>
              <w:position w:val="1"/>
              <w:sz w:val="23"/>
              <w:szCs w:val="23"/>
            </w:rPr>
            <w:t xml:space="preserve">3.3  </w:t>
          </w:r>
          <w:r>
            <w:rPr>
              <w:rFonts w:ascii="宋体" w:hAnsi="宋体" w:eastAsia="宋体" w:cs="宋体"/>
              <w:color w:val="202030"/>
              <w:spacing w:val="9"/>
              <w:position w:val="1"/>
              <w:sz w:val="23"/>
              <w:szCs w:val="23"/>
            </w:rPr>
            <w:t>现场应急工作组</w:t>
          </w:r>
          <w:r>
            <w:rPr>
              <w:rFonts w:ascii="宋体" w:hAnsi="宋体" w:eastAsia="宋体" w:cs="宋体"/>
              <w:color w:val="202030"/>
              <w:spacing w:val="-87"/>
              <w:position w:val="1"/>
              <w:sz w:val="23"/>
              <w:szCs w:val="23"/>
            </w:rPr>
            <w:t xml:space="preserve"> </w:t>
          </w:r>
          <w:r>
            <w:rPr>
              <w:rFonts w:ascii="宋体" w:hAnsi="宋体" w:eastAsia="宋体" w:cs="宋体"/>
              <w:color w:val="202030"/>
              <w:position w:val="1"/>
              <w:sz w:val="23"/>
              <w:szCs w:val="23"/>
            </w:rPr>
            <w:tab/>
          </w:r>
          <w:r>
            <w:rPr>
              <w:rFonts w:ascii="Arial" w:hAnsi="Arial" w:eastAsia="Arial" w:cs="Arial"/>
              <w:color w:val="202030"/>
              <w:spacing w:val="-6"/>
              <w:position w:val="1"/>
              <w:sz w:val="23"/>
              <w:szCs w:val="23"/>
            </w:rPr>
            <w:t>15</w:t>
          </w:r>
          <w:r>
            <w:rPr>
              <w:rFonts w:ascii="Arial" w:hAnsi="Arial" w:eastAsia="Arial" w:cs="Arial"/>
              <w:color w:val="202030"/>
              <w:spacing w:val="-6"/>
              <w:position w:val="1"/>
              <w:sz w:val="23"/>
              <w:szCs w:val="23"/>
            </w:rPr>
            <w:fldChar w:fldCharType="end"/>
          </w:r>
        </w:p>
        <w:p w14:paraId="2775126B">
          <w:pPr>
            <w:tabs>
              <w:tab w:val="right" w:leader="dot" w:pos="8270"/>
            </w:tabs>
            <w:spacing w:before="148" w:line="314" w:lineRule="exact"/>
            <w:rPr>
              <w:rFonts w:ascii="Arial" w:hAnsi="Arial" w:eastAsia="Arial" w:cs="Arial"/>
              <w:sz w:val="23"/>
              <w:szCs w:val="23"/>
            </w:rPr>
          </w:pPr>
          <w:r>
            <w:fldChar w:fldCharType="begin"/>
          </w:r>
          <w:r>
            <w:instrText xml:space="preserve"> HYPERLINK \l "bookmark26" </w:instrText>
          </w:r>
          <w:r>
            <w:fldChar w:fldCharType="separate"/>
          </w:r>
          <w:r>
            <w:rPr>
              <w:rFonts w:ascii="Times New Roman" w:hAnsi="Times New Roman" w:eastAsia="Times New Roman" w:cs="Times New Roman"/>
              <w:spacing w:val="8"/>
              <w:position w:val="1"/>
              <w:sz w:val="23"/>
              <w:szCs w:val="23"/>
            </w:rPr>
            <w:t xml:space="preserve">4  </w:t>
          </w:r>
          <w:r>
            <w:rPr>
              <w:rFonts w:ascii="宋体" w:hAnsi="宋体" w:eastAsia="宋体" w:cs="宋体"/>
              <w:spacing w:val="8"/>
              <w:position w:val="1"/>
              <w:sz w:val="23"/>
              <w:szCs w:val="23"/>
            </w:rPr>
            <w:t>应急响应</w:t>
          </w:r>
          <w:r>
            <w:rPr>
              <w:rFonts w:ascii="宋体" w:hAnsi="宋体" w:eastAsia="宋体" w:cs="宋体"/>
              <w:spacing w:val="-93"/>
              <w:position w:val="1"/>
              <w:sz w:val="23"/>
              <w:szCs w:val="23"/>
            </w:rPr>
            <w:t xml:space="preserve"> </w:t>
          </w:r>
          <w:r>
            <w:rPr>
              <w:rFonts w:ascii="宋体" w:hAnsi="宋体" w:eastAsia="宋体" w:cs="宋体"/>
              <w:position w:val="1"/>
              <w:sz w:val="23"/>
              <w:szCs w:val="23"/>
            </w:rPr>
            <w:tab/>
          </w:r>
          <w:r>
            <w:rPr>
              <w:rFonts w:ascii="Arial" w:hAnsi="Arial" w:eastAsia="Arial" w:cs="Arial"/>
              <w:spacing w:val="-6"/>
              <w:position w:val="1"/>
              <w:sz w:val="23"/>
              <w:szCs w:val="23"/>
            </w:rPr>
            <w:t>19</w:t>
          </w:r>
          <w:r>
            <w:rPr>
              <w:rFonts w:ascii="Arial" w:hAnsi="Arial" w:eastAsia="Arial" w:cs="Arial"/>
              <w:spacing w:val="-6"/>
              <w:position w:val="1"/>
              <w:sz w:val="23"/>
              <w:szCs w:val="23"/>
            </w:rPr>
            <w:fldChar w:fldCharType="end"/>
          </w:r>
        </w:p>
        <w:p w14:paraId="7AC5806C">
          <w:pPr>
            <w:tabs>
              <w:tab w:val="right" w:leader="dot" w:pos="8280"/>
            </w:tabs>
            <w:spacing w:before="174" w:line="314" w:lineRule="exact"/>
            <w:ind w:left="469"/>
            <w:rPr>
              <w:rFonts w:ascii="Arial" w:hAnsi="Arial" w:eastAsia="Arial" w:cs="Arial"/>
              <w:sz w:val="23"/>
              <w:szCs w:val="23"/>
            </w:rPr>
          </w:pPr>
          <w:r>
            <w:fldChar w:fldCharType="begin"/>
          </w:r>
          <w:r>
            <w:instrText xml:space="preserve"> HYPERLINK \l "bookmark27" </w:instrText>
          </w:r>
          <w:r>
            <w:fldChar w:fldCharType="separate"/>
          </w:r>
          <w:r>
            <w:rPr>
              <w:rFonts w:ascii="Times New Roman" w:hAnsi="Times New Roman" w:eastAsia="Times New Roman" w:cs="Times New Roman"/>
              <w:spacing w:val="9"/>
              <w:position w:val="1"/>
              <w:sz w:val="23"/>
              <w:szCs w:val="23"/>
            </w:rPr>
            <w:t>4.1</w:t>
          </w:r>
          <w:r>
            <w:rPr>
              <w:rFonts w:ascii="Times New Roman" w:hAnsi="Times New Roman" w:eastAsia="Times New Roman" w:cs="Times New Roman"/>
              <w:spacing w:val="12"/>
              <w:position w:val="1"/>
              <w:sz w:val="23"/>
              <w:szCs w:val="23"/>
            </w:rPr>
            <w:t xml:space="preserve">  </w:t>
          </w:r>
          <w:r>
            <w:rPr>
              <w:rFonts w:ascii="宋体" w:hAnsi="宋体" w:eastAsia="宋体" w:cs="宋体"/>
              <w:spacing w:val="9"/>
              <w:position w:val="1"/>
              <w:sz w:val="23"/>
              <w:szCs w:val="23"/>
            </w:rPr>
            <w:t>预防与预警</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6"/>
              <w:position w:val="1"/>
              <w:sz w:val="23"/>
              <w:szCs w:val="23"/>
            </w:rPr>
            <w:t>19</w:t>
          </w:r>
          <w:r>
            <w:rPr>
              <w:rFonts w:ascii="Arial" w:hAnsi="Arial" w:eastAsia="Arial" w:cs="Arial"/>
              <w:spacing w:val="-6"/>
              <w:position w:val="1"/>
              <w:sz w:val="23"/>
              <w:szCs w:val="23"/>
            </w:rPr>
            <w:fldChar w:fldCharType="end"/>
          </w:r>
        </w:p>
        <w:p w14:paraId="1FA433F1">
          <w:pPr>
            <w:tabs>
              <w:tab w:val="right" w:leader="dot" w:pos="8290"/>
            </w:tabs>
            <w:spacing w:before="146" w:line="313" w:lineRule="exact"/>
            <w:ind w:left="949"/>
            <w:rPr>
              <w:rFonts w:ascii="Arial" w:hAnsi="Arial" w:eastAsia="Arial" w:cs="Arial"/>
              <w:sz w:val="23"/>
              <w:szCs w:val="23"/>
            </w:rPr>
          </w:pPr>
          <w:r>
            <w:fldChar w:fldCharType="begin"/>
          </w:r>
          <w:r>
            <w:instrText xml:space="preserve"> HYPERLINK \l "bookmark28" </w:instrText>
          </w:r>
          <w:r>
            <w:fldChar w:fldCharType="separate"/>
          </w:r>
          <w:r>
            <w:rPr>
              <w:rFonts w:ascii="Times New Roman" w:hAnsi="Times New Roman" w:eastAsia="Times New Roman" w:cs="Times New Roman"/>
              <w:color w:val="404050"/>
              <w:spacing w:val="8"/>
              <w:position w:val="1"/>
              <w:sz w:val="23"/>
              <w:szCs w:val="23"/>
            </w:rPr>
            <w:t xml:space="preserve">4.1.1   </w:t>
          </w:r>
          <w:r>
            <w:rPr>
              <w:rFonts w:ascii="宋体" w:hAnsi="宋体" w:eastAsia="宋体" w:cs="宋体"/>
              <w:color w:val="404050"/>
              <w:spacing w:val="8"/>
              <w:position w:val="1"/>
              <w:sz w:val="23"/>
              <w:szCs w:val="23"/>
            </w:rPr>
            <w:t>主要部门预防工作职责分工</w:t>
          </w:r>
          <w:r>
            <w:rPr>
              <w:rFonts w:ascii="宋体" w:hAnsi="宋体" w:eastAsia="宋体" w:cs="宋体"/>
              <w:color w:val="404050"/>
              <w:spacing w:val="-89"/>
              <w:position w:val="1"/>
              <w:sz w:val="23"/>
              <w:szCs w:val="23"/>
            </w:rPr>
            <w:t xml:space="preserve"> </w:t>
          </w:r>
          <w:r>
            <w:rPr>
              <w:rFonts w:ascii="宋体" w:hAnsi="宋体" w:eastAsia="宋体" w:cs="宋体"/>
              <w:color w:val="404050"/>
              <w:position w:val="1"/>
              <w:sz w:val="23"/>
              <w:szCs w:val="23"/>
            </w:rPr>
            <w:tab/>
          </w:r>
          <w:r>
            <w:rPr>
              <w:rFonts w:ascii="宋体" w:hAnsi="宋体" w:eastAsia="宋体" w:cs="宋体"/>
              <w:color w:val="404050"/>
              <w:spacing w:val="-8"/>
              <w:position w:val="1"/>
              <w:sz w:val="23"/>
              <w:szCs w:val="23"/>
            </w:rPr>
            <w:t xml:space="preserve"> </w:t>
          </w:r>
          <w:r>
            <w:rPr>
              <w:rFonts w:ascii="Arial" w:hAnsi="Arial" w:eastAsia="Arial" w:cs="Arial"/>
              <w:color w:val="404050"/>
              <w:spacing w:val="-7"/>
              <w:position w:val="1"/>
              <w:sz w:val="23"/>
              <w:szCs w:val="23"/>
            </w:rPr>
            <w:t>19</w:t>
          </w:r>
          <w:r>
            <w:rPr>
              <w:rFonts w:ascii="Arial" w:hAnsi="Arial" w:eastAsia="Arial" w:cs="Arial"/>
              <w:color w:val="404050"/>
              <w:spacing w:val="-7"/>
              <w:position w:val="1"/>
              <w:sz w:val="23"/>
              <w:szCs w:val="23"/>
            </w:rPr>
            <w:fldChar w:fldCharType="end"/>
          </w:r>
        </w:p>
      </w:sdtContent>
    </w:sdt>
    <w:p w14:paraId="0EBC1AB9">
      <w:pPr>
        <w:spacing w:line="313" w:lineRule="exact"/>
        <w:rPr>
          <w:rFonts w:ascii="Arial" w:hAnsi="Arial" w:eastAsia="Arial" w:cs="Arial"/>
          <w:sz w:val="23"/>
          <w:szCs w:val="23"/>
        </w:rPr>
        <w:sectPr>
          <w:pgSz w:w="11910" w:h="16850"/>
          <w:pgMar w:top="1432" w:right="1786" w:bottom="0" w:left="1720" w:header="0" w:footer="0" w:gutter="0"/>
          <w:cols w:space="720" w:num="1"/>
        </w:sectPr>
      </w:pPr>
    </w:p>
    <w:sdt>
      <w:sdtPr>
        <w:rPr>
          <w:rFonts w:ascii="Times New Roman" w:hAnsi="Times New Roman" w:eastAsia="Times New Roman" w:cs="Times New Roman"/>
          <w:sz w:val="23"/>
          <w:szCs w:val="23"/>
        </w:rPr>
        <w:id w:val="147478280"/>
        <w:docPartObj>
          <w:docPartGallery w:val="Table of Contents"/>
          <w:docPartUnique/>
        </w:docPartObj>
      </w:sdtPr>
      <w:sdtEndPr>
        <w:rPr>
          <w:rFonts w:ascii="Arial" w:hAnsi="Arial" w:eastAsia="Arial" w:cs="Arial"/>
          <w:sz w:val="23"/>
          <w:szCs w:val="23"/>
        </w:rPr>
      </w:sdtEndPr>
      <w:sdtContent>
        <w:p w14:paraId="18DDE236">
          <w:pPr>
            <w:tabs>
              <w:tab w:val="right" w:leader="dot" w:pos="8319"/>
            </w:tabs>
            <w:spacing w:before="62" w:line="314" w:lineRule="exact"/>
            <w:ind w:left="940"/>
            <w:rPr>
              <w:rFonts w:ascii="Arial" w:hAnsi="Arial" w:eastAsia="Arial" w:cs="Arial"/>
              <w:sz w:val="23"/>
              <w:szCs w:val="23"/>
            </w:rPr>
          </w:pPr>
          <w:bookmarkStart w:id="0" w:name="bookmark29"/>
          <w:bookmarkEnd w:id="0"/>
          <w:r>
            <w:fldChar w:fldCharType="begin"/>
          </w:r>
          <w:r>
            <w:instrText xml:space="preserve"> HYPERLINK \l "bookmark30" </w:instrText>
          </w:r>
          <w:r>
            <w:fldChar w:fldCharType="separate"/>
          </w:r>
          <w:r>
            <w:rPr>
              <w:rFonts w:ascii="Times New Roman" w:hAnsi="Times New Roman" w:eastAsia="Times New Roman" w:cs="Times New Roman"/>
              <w:spacing w:val="7"/>
              <w:position w:val="1"/>
              <w:sz w:val="23"/>
              <w:szCs w:val="23"/>
            </w:rPr>
            <w:t>4.1.2</w:t>
          </w:r>
          <w:r>
            <w:rPr>
              <w:rFonts w:ascii="Times New Roman" w:hAnsi="Times New Roman" w:eastAsia="Times New Roman" w:cs="Times New Roman"/>
              <w:spacing w:val="13"/>
              <w:position w:val="1"/>
              <w:sz w:val="23"/>
              <w:szCs w:val="23"/>
            </w:rPr>
            <w:t xml:space="preserve">   </w:t>
          </w:r>
          <w:r>
            <w:rPr>
              <w:rFonts w:ascii="宋体" w:hAnsi="宋体" w:eastAsia="宋体" w:cs="宋体"/>
              <w:spacing w:val="7"/>
              <w:position w:val="1"/>
              <w:sz w:val="23"/>
              <w:szCs w:val="23"/>
            </w:rPr>
            <w:t>信息收集与研判</w:t>
          </w:r>
          <w:r>
            <w:rPr>
              <w:rFonts w:ascii="宋体" w:hAnsi="宋体" w:eastAsia="宋体" w:cs="宋体"/>
              <w:spacing w:val="-102"/>
              <w:position w:val="1"/>
              <w:sz w:val="23"/>
              <w:szCs w:val="23"/>
            </w:rPr>
            <w:t xml:space="preserve"> </w:t>
          </w:r>
          <w:r>
            <w:rPr>
              <w:rFonts w:ascii="宋体" w:hAnsi="宋体" w:eastAsia="宋体" w:cs="宋体"/>
              <w:position w:val="1"/>
              <w:sz w:val="23"/>
              <w:szCs w:val="23"/>
            </w:rPr>
            <w:tab/>
          </w:r>
          <w:r>
            <w:rPr>
              <w:rFonts w:ascii="Arial" w:hAnsi="Arial" w:eastAsia="Arial" w:cs="Arial"/>
              <w:spacing w:val="-1"/>
              <w:position w:val="1"/>
              <w:sz w:val="23"/>
              <w:szCs w:val="23"/>
            </w:rPr>
            <w:t>20</w:t>
          </w:r>
          <w:r>
            <w:rPr>
              <w:rFonts w:ascii="Arial" w:hAnsi="Arial" w:eastAsia="Arial" w:cs="Arial"/>
              <w:spacing w:val="-1"/>
              <w:position w:val="1"/>
              <w:sz w:val="23"/>
              <w:szCs w:val="23"/>
            </w:rPr>
            <w:fldChar w:fldCharType="end"/>
          </w:r>
        </w:p>
        <w:p w14:paraId="7191E06E">
          <w:pPr>
            <w:tabs>
              <w:tab w:val="right" w:leader="dot" w:pos="8319"/>
            </w:tabs>
            <w:spacing w:before="199" w:line="220" w:lineRule="auto"/>
            <w:ind w:left="940"/>
            <w:rPr>
              <w:rFonts w:ascii="Arial" w:hAnsi="Arial" w:eastAsia="Arial" w:cs="Arial"/>
              <w:sz w:val="23"/>
              <w:szCs w:val="23"/>
            </w:rPr>
          </w:pPr>
          <w:r>
            <w:fldChar w:fldCharType="begin"/>
          </w:r>
          <w:r>
            <w:instrText xml:space="preserve"> HYPERLINK \l "bookmark31" </w:instrText>
          </w:r>
          <w:r>
            <w:fldChar w:fldCharType="separate"/>
          </w:r>
          <w:r>
            <w:rPr>
              <w:rFonts w:ascii="Times New Roman" w:hAnsi="Times New Roman" w:eastAsia="Times New Roman" w:cs="Times New Roman"/>
              <w:spacing w:val="-4"/>
              <w:sz w:val="23"/>
              <w:szCs w:val="23"/>
            </w:rPr>
            <w:t>4.1.3</w:t>
          </w:r>
          <w:r>
            <w:rPr>
              <w:rFonts w:ascii="Times New Roman" w:hAnsi="Times New Roman" w:eastAsia="Times New Roman" w:cs="Times New Roman"/>
              <w:spacing w:val="10"/>
              <w:sz w:val="23"/>
              <w:szCs w:val="23"/>
            </w:rPr>
            <w:t xml:space="preserve">   </w:t>
          </w:r>
          <w:r>
            <w:rPr>
              <w:rFonts w:ascii="宋体" w:hAnsi="宋体" w:eastAsia="宋体" w:cs="宋体"/>
              <w:spacing w:val="-4"/>
              <w:sz w:val="23"/>
              <w:szCs w:val="23"/>
            </w:rPr>
            <w:t>预</w:t>
          </w:r>
          <w:r>
            <w:rPr>
              <w:rFonts w:ascii="宋体" w:hAnsi="宋体" w:eastAsia="宋体" w:cs="宋体"/>
              <w:spacing w:val="-41"/>
              <w:sz w:val="23"/>
              <w:szCs w:val="23"/>
            </w:rPr>
            <w:t xml:space="preserve"> </w:t>
          </w:r>
          <w:r>
            <w:rPr>
              <w:rFonts w:ascii="宋体" w:hAnsi="宋体" w:eastAsia="宋体" w:cs="宋体"/>
              <w:spacing w:val="-4"/>
              <w:sz w:val="23"/>
              <w:szCs w:val="23"/>
            </w:rPr>
            <w:t>警</w:t>
          </w:r>
          <w:r>
            <w:rPr>
              <w:rFonts w:ascii="宋体" w:hAnsi="宋体" w:eastAsia="宋体" w:cs="宋体"/>
              <w:spacing w:val="-95"/>
              <w:sz w:val="23"/>
              <w:szCs w:val="23"/>
            </w:rPr>
            <w:t xml:space="preserve"> </w:t>
          </w:r>
          <w:r>
            <w:rPr>
              <w:rFonts w:ascii="宋体" w:hAnsi="宋体" w:eastAsia="宋体" w:cs="宋体"/>
              <w:sz w:val="23"/>
              <w:szCs w:val="23"/>
            </w:rPr>
            <w:tab/>
          </w:r>
          <w:r>
            <w:rPr>
              <w:rFonts w:ascii="Arial" w:hAnsi="Arial" w:eastAsia="Arial" w:cs="Arial"/>
              <w:spacing w:val="-5"/>
              <w:sz w:val="23"/>
              <w:szCs w:val="23"/>
            </w:rPr>
            <w:t>21</w:t>
          </w:r>
          <w:r>
            <w:rPr>
              <w:rFonts w:ascii="Arial" w:hAnsi="Arial" w:eastAsia="Arial" w:cs="Arial"/>
              <w:spacing w:val="-5"/>
              <w:sz w:val="23"/>
              <w:szCs w:val="23"/>
            </w:rPr>
            <w:fldChar w:fldCharType="end"/>
          </w:r>
        </w:p>
        <w:p w14:paraId="6274E34C">
          <w:pPr>
            <w:tabs>
              <w:tab w:val="right" w:leader="dot" w:pos="8309"/>
            </w:tabs>
            <w:spacing w:before="151" w:line="314" w:lineRule="exact"/>
            <w:ind w:left="459"/>
            <w:rPr>
              <w:rFonts w:ascii="Arial" w:hAnsi="Arial" w:eastAsia="Arial" w:cs="Arial"/>
              <w:sz w:val="23"/>
              <w:szCs w:val="23"/>
            </w:rPr>
          </w:pPr>
          <w:r>
            <w:fldChar w:fldCharType="begin"/>
          </w:r>
          <w:r>
            <w:instrText xml:space="preserve"> HYPERLINK \l "bookmark32" </w:instrText>
          </w:r>
          <w:r>
            <w:fldChar w:fldCharType="separate"/>
          </w:r>
          <w:r>
            <w:rPr>
              <w:rFonts w:ascii="Times New Roman" w:hAnsi="Times New Roman" w:eastAsia="Times New Roman" w:cs="Times New Roman"/>
              <w:spacing w:val="8"/>
              <w:position w:val="1"/>
              <w:sz w:val="23"/>
              <w:szCs w:val="23"/>
            </w:rPr>
            <w:t>4.2</w:t>
          </w:r>
          <w:r>
            <w:rPr>
              <w:rFonts w:ascii="Times New Roman" w:hAnsi="Times New Roman" w:eastAsia="Times New Roman" w:cs="Times New Roman"/>
              <w:spacing w:val="18"/>
              <w:w w:val="101"/>
              <w:position w:val="1"/>
              <w:sz w:val="23"/>
              <w:szCs w:val="23"/>
            </w:rPr>
            <w:t xml:space="preserve">  </w:t>
          </w:r>
          <w:r>
            <w:rPr>
              <w:rFonts w:ascii="宋体" w:hAnsi="宋体" w:eastAsia="宋体" w:cs="宋体"/>
              <w:spacing w:val="8"/>
              <w:position w:val="1"/>
              <w:sz w:val="23"/>
              <w:szCs w:val="23"/>
            </w:rPr>
            <w:t>信息报告与通报</w:t>
          </w:r>
          <w:r>
            <w:rPr>
              <w:rFonts w:ascii="宋体" w:hAnsi="宋体" w:eastAsia="宋体" w:cs="宋体"/>
              <w:spacing w:val="-106"/>
              <w:position w:val="1"/>
              <w:sz w:val="23"/>
              <w:szCs w:val="23"/>
            </w:rPr>
            <w:t xml:space="preserve"> </w:t>
          </w:r>
          <w:r>
            <w:rPr>
              <w:rFonts w:ascii="宋体" w:hAnsi="宋体" w:eastAsia="宋体" w:cs="宋体"/>
              <w:position w:val="1"/>
              <w:sz w:val="23"/>
              <w:szCs w:val="23"/>
            </w:rPr>
            <w:tab/>
          </w:r>
          <w:r>
            <w:rPr>
              <w:rFonts w:ascii="Arial" w:hAnsi="Arial" w:eastAsia="Arial" w:cs="Arial"/>
              <w:spacing w:val="-1"/>
              <w:position w:val="1"/>
              <w:sz w:val="23"/>
              <w:szCs w:val="23"/>
            </w:rPr>
            <w:t>23</w:t>
          </w:r>
          <w:r>
            <w:rPr>
              <w:rFonts w:ascii="Arial" w:hAnsi="Arial" w:eastAsia="Arial" w:cs="Arial"/>
              <w:spacing w:val="-1"/>
              <w:position w:val="1"/>
              <w:sz w:val="23"/>
              <w:szCs w:val="23"/>
            </w:rPr>
            <w:fldChar w:fldCharType="end"/>
          </w:r>
        </w:p>
        <w:p w14:paraId="05F49AD6">
          <w:pPr>
            <w:tabs>
              <w:tab w:val="right" w:leader="dot" w:pos="8309"/>
            </w:tabs>
            <w:spacing w:before="166" w:line="314" w:lineRule="exact"/>
            <w:ind w:left="940"/>
            <w:rPr>
              <w:rFonts w:ascii="Arial" w:hAnsi="Arial" w:eastAsia="Arial" w:cs="Arial"/>
              <w:sz w:val="23"/>
              <w:szCs w:val="23"/>
            </w:rPr>
          </w:pPr>
          <w:r>
            <w:fldChar w:fldCharType="begin"/>
          </w:r>
          <w:r>
            <w:instrText xml:space="preserve"> HYPERLINK \l "bookmark33" </w:instrText>
          </w:r>
          <w:r>
            <w:fldChar w:fldCharType="separate"/>
          </w:r>
          <w:r>
            <w:rPr>
              <w:rFonts w:ascii="Times New Roman" w:hAnsi="Times New Roman" w:eastAsia="Times New Roman" w:cs="Times New Roman"/>
              <w:spacing w:val="9"/>
              <w:position w:val="1"/>
              <w:sz w:val="23"/>
              <w:szCs w:val="23"/>
            </w:rPr>
            <w:t>4.2.1</w:t>
          </w:r>
          <w:r>
            <w:rPr>
              <w:rFonts w:ascii="Times New Roman" w:hAnsi="Times New Roman" w:eastAsia="Times New Roman" w:cs="Times New Roman"/>
              <w:spacing w:val="13"/>
              <w:position w:val="1"/>
              <w:sz w:val="23"/>
              <w:szCs w:val="23"/>
            </w:rPr>
            <w:t xml:space="preserve">   </w:t>
          </w:r>
          <w:r>
            <w:rPr>
              <w:rFonts w:ascii="宋体" w:hAnsi="宋体" w:eastAsia="宋体" w:cs="宋体"/>
              <w:spacing w:val="9"/>
              <w:position w:val="1"/>
              <w:sz w:val="23"/>
              <w:szCs w:val="23"/>
            </w:rPr>
            <w:t>信息报告程序</w:t>
          </w:r>
          <w:r>
            <w:rPr>
              <w:rFonts w:ascii="宋体" w:hAnsi="宋体" w:eastAsia="宋体" w:cs="宋体"/>
              <w:spacing w:val="-97"/>
              <w:position w:val="1"/>
              <w:sz w:val="23"/>
              <w:szCs w:val="23"/>
            </w:rPr>
            <w:t xml:space="preserve"> </w:t>
          </w:r>
          <w:r>
            <w:rPr>
              <w:rFonts w:ascii="宋体" w:hAnsi="宋体" w:eastAsia="宋体" w:cs="宋体"/>
              <w:position w:val="1"/>
              <w:sz w:val="23"/>
              <w:szCs w:val="23"/>
            </w:rPr>
            <w:tab/>
          </w:r>
          <w:r>
            <w:rPr>
              <w:rFonts w:ascii="Arial" w:hAnsi="Arial" w:eastAsia="Arial" w:cs="Arial"/>
              <w:spacing w:val="-9"/>
              <w:position w:val="1"/>
              <w:sz w:val="23"/>
              <w:szCs w:val="23"/>
            </w:rPr>
            <w:t>23</w:t>
          </w:r>
          <w:r>
            <w:rPr>
              <w:rFonts w:ascii="Arial" w:hAnsi="Arial" w:eastAsia="Arial" w:cs="Arial"/>
              <w:spacing w:val="-9"/>
              <w:position w:val="1"/>
              <w:sz w:val="23"/>
              <w:szCs w:val="23"/>
            </w:rPr>
            <w:fldChar w:fldCharType="end"/>
          </w:r>
        </w:p>
        <w:p w14:paraId="32569453">
          <w:pPr>
            <w:tabs>
              <w:tab w:val="right" w:leader="dot" w:pos="8299"/>
            </w:tabs>
            <w:spacing w:before="180" w:line="220" w:lineRule="auto"/>
            <w:ind w:left="459"/>
            <w:rPr>
              <w:rFonts w:ascii="Arial" w:hAnsi="Arial" w:eastAsia="Arial" w:cs="Arial"/>
              <w:sz w:val="23"/>
              <w:szCs w:val="23"/>
            </w:rPr>
          </w:pPr>
          <w:r>
            <w:fldChar w:fldCharType="begin"/>
          </w:r>
          <w:r>
            <w:instrText xml:space="preserve"> HYPERLINK \l "bookmark34" </w:instrText>
          </w:r>
          <w:r>
            <w:fldChar w:fldCharType="separate"/>
          </w:r>
          <w:r>
            <w:rPr>
              <w:rFonts w:ascii="Times New Roman" w:hAnsi="Times New Roman" w:eastAsia="Times New Roman" w:cs="Times New Roman"/>
              <w:spacing w:val="7"/>
              <w:sz w:val="23"/>
              <w:szCs w:val="23"/>
            </w:rPr>
            <w:t>4.3</w:t>
          </w:r>
          <w:r>
            <w:rPr>
              <w:rFonts w:ascii="Times New Roman" w:hAnsi="Times New Roman" w:eastAsia="Times New Roman" w:cs="Times New Roman"/>
              <w:spacing w:val="17"/>
              <w:sz w:val="23"/>
              <w:szCs w:val="23"/>
            </w:rPr>
            <w:t xml:space="preserve">  </w:t>
          </w:r>
          <w:r>
            <w:rPr>
              <w:rFonts w:ascii="宋体" w:hAnsi="宋体" w:eastAsia="宋体" w:cs="宋体"/>
              <w:spacing w:val="7"/>
              <w:sz w:val="23"/>
              <w:szCs w:val="23"/>
            </w:rPr>
            <w:t>事态研判</w:t>
          </w:r>
          <w:r>
            <w:rPr>
              <w:rFonts w:ascii="宋体" w:hAnsi="宋体" w:eastAsia="宋体" w:cs="宋体"/>
              <w:spacing w:val="-102"/>
              <w:sz w:val="23"/>
              <w:szCs w:val="23"/>
            </w:rPr>
            <w:t xml:space="preserve"> </w:t>
          </w:r>
          <w:r>
            <w:rPr>
              <w:rFonts w:ascii="宋体" w:hAnsi="宋体" w:eastAsia="宋体" w:cs="宋体"/>
              <w:sz w:val="23"/>
              <w:szCs w:val="23"/>
            </w:rPr>
            <w:tab/>
          </w:r>
          <w:r>
            <w:rPr>
              <w:rFonts w:ascii="Arial" w:hAnsi="Arial" w:eastAsia="Arial" w:cs="Arial"/>
              <w:spacing w:val="-5"/>
              <w:sz w:val="23"/>
              <w:szCs w:val="23"/>
            </w:rPr>
            <w:t>24</w:t>
          </w:r>
          <w:r>
            <w:rPr>
              <w:rFonts w:ascii="Arial" w:hAnsi="Arial" w:eastAsia="Arial" w:cs="Arial"/>
              <w:spacing w:val="-5"/>
              <w:sz w:val="23"/>
              <w:szCs w:val="23"/>
            </w:rPr>
            <w:fldChar w:fldCharType="end"/>
          </w:r>
        </w:p>
        <w:p w14:paraId="432AAD77">
          <w:pPr>
            <w:tabs>
              <w:tab w:val="right" w:leader="dot" w:pos="8299"/>
            </w:tabs>
            <w:spacing w:before="206" w:line="221" w:lineRule="auto"/>
            <w:ind w:left="459"/>
            <w:rPr>
              <w:rFonts w:ascii="Arial" w:hAnsi="Arial" w:eastAsia="Arial" w:cs="Arial"/>
              <w:sz w:val="23"/>
              <w:szCs w:val="23"/>
            </w:rPr>
          </w:pPr>
          <w:r>
            <w:fldChar w:fldCharType="begin"/>
          </w:r>
          <w:r>
            <w:instrText xml:space="preserve"> HYPERLINK \l "bookmark35" </w:instrText>
          </w:r>
          <w:r>
            <w:fldChar w:fldCharType="separate"/>
          </w:r>
          <w:r>
            <w:rPr>
              <w:rFonts w:ascii="Times New Roman" w:hAnsi="Times New Roman" w:eastAsia="Times New Roman" w:cs="Times New Roman"/>
              <w:spacing w:val="5"/>
              <w:sz w:val="23"/>
              <w:szCs w:val="23"/>
            </w:rPr>
            <w:t>4.4</w:t>
          </w:r>
          <w:r>
            <w:rPr>
              <w:rFonts w:ascii="Times New Roman" w:hAnsi="Times New Roman" w:eastAsia="Times New Roman" w:cs="Times New Roman"/>
              <w:spacing w:val="15"/>
              <w:w w:val="101"/>
              <w:sz w:val="23"/>
              <w:szCs w:val="23"/>
            </w:rPr>
            <w:t xml:space="preserve">  </w:t>
          </w:r>
          <w:r>
            <w:rPr>
              <w:rFonts w:ascii="宋体" w:hAnsi="宋体" w:eastAsia="宋体" w:cs="宋体"/>
              <w:spacing w:val="5"/>
              <w:sz w:val="23"/>
              <w:szCs w:val="23"/>
            </w:rPr>
            <w:t>应急监测</w:t>
          </w:r>
          <w:r>
            <w:rPr>
              <w:rFonts w:ascii="宋体" w:hAnsi="宋体" w:eastAsia="宋体" w:cs="宋体"/>
              <w:sz w:val="23"/>
              <w:szCs w:val="23"/>
            </w:rPr>
            <w:tab/>
          </w:r>
          <w:r>
            <w:rPr>
              <w:rFonts w:ascii="Arial" w:hAnsi="Arial" w:eastAsia="Arial" w:cs="Arial"/>
              <w:spacing w:val="5"/>
              <w:sz w:val="23"/>
              <w:szCs w:val="23"/>
            </w:rPr>
            <w:t>24</w:t>
          </w:r>
          <w:r>
            <w:rPr>
              <w:rFonts w:ascii="Arial" w:hAnsi="Arial" w:eastAsia="Arial" w:cs="Arial"/>
              <w:spacing w:val="5"/>
              <w:sz w:val="23"/>
              <w:szCs w:val="23"/>
            </w:rPr>
            <w:fldChar w:fldCharType="end"/>
          </w:r>
        </w:p>
        <w:p w14:paraId="7C6C2949">
          <w:pPr>
            <w:tabs>
              <w:tab w:val="right" w:leader="dot" w:pos="8309"/>
            </w:tabs>
            <w:spacing w:before="152" w:line="314" w:lineRule="exact"/>
            <w:ind w:left="459"/>
            <w:rPr>
              <w:rFonts w:ascii="Arial" w:hAnsi="Arial" w:eastAsia="Arial" w:cs="Arial"/>
              <w:sz w:val="23"/>
              <w:szCs w:val="23"/>
            </w:rPr>
          </w:pPr>
          <w:r>
            <w:fldChar w:fldCharType="begin"/>
          </w:r>
          <w:r>
            <w:instrText xml:space="preserve"> HYPERLINK \l "bookmark36" </w:instrText>
          </w:r>
          <w:r>
            <w:fldChar w:fldCharType="separate"/>
          </w:r>
          <w:r>
            <w:rPr>
              <w:rFonts w:ascii="Times New Roman" w:hAnsi="Times New Roman" w:eastAsia="Times New Roman" w:cs="Times New Roman"/>
              <w:spacing w:val="11"/>
              <w:position w:val="1"/>
              <w:sz w:val="23"/>
              <w:szCs w:val="23"/>
            </w:rPr>
            <w:t xml:space="preserve">4.5  </w:t>
          </w:r>
          <w:r>
            <w:rPr>
              <w:rFonts w:ascii="宋体" w:hAnsi="宋体" w:eastAsia="宋体" w:cs="宋体"/>
              <w:color w:val="101010"/>
              <w:spacing w:val="11"/>
              <w:position w:val="1"/>
              <w:sz w:val="23"/>
              <w:szCs w:val="23"/>
            </w:rPr>
            <w:t>污</w:t>
          </w:r>
          <w:r>
            <w:rPr>
              <w:rFonts w:ascii="宋体" w:hAnsi="宋体" w:eastAsia="宋体" w:cs="宋体"/>
              <w:spacing w:val="11"/>
              <w:position w:val="1"/>
              <w:sz w:val="23"/>
              <w:szCs w:val="23"/>
            </w:rPr>
            <w:t>染源排查与处置</w:t>
          </w:r>
          <w:r>
            <w:rPr>
              <w:rFonts w:ascii="宋体" w:hAnsi="宋体" w:eastAsia="宋体" w:cs="宋体"/>
              <w:spacing w:val="-102"/>
              <w:position w:val="1"/>
              <w:sz w:val="23"/>
              <w:szCs w:val="23"/>
            </w:rPr>
            <w:t xml:space="preserve"> </w:t>
          </w:r>
          <w:r>
            <w:rPr>
              <w:rFonts w:ascii="宋体" w:hAnsi="宋体" w:eastAsia="宋体" w:cs="宋体"/>
              <w:position w:val="1"/>
              <w:sz w:val="23"/>
              <w:szCs w:val="23"/>
            </w:rPr>
            <w:tab/>
          </w:r>
          <w:r>
            <w:rPr>
              <w:rFonts w:ascii="Arial" w:hAnsi="Arial" w:eastAsia="Arial" w:cs="Arial"/>
              <w:spacing w:val="-1"/>
              <w:position w:val="1"/>
              <w:sz w:val="23"/>
              <w:szCs w:val="23"/>
            </w:rPr>
            <w:t>26</w:t>
          </w:r>
          <w:r>
            <w:rPr>
              <w:rFonts w:ascii="Arial" w:hAnsi="Arial" w:eastAsia="Arial" w:cs="Arial"/>
              <w:spacing w:val="-1"/>
              <w:position w:val="1"/>
              <w:sz w:val="23"/>
              <w:szCs w:val="23"/>
            </w:rPr>
            <w:fldChar w:fldCharType="end"/>
          </w:r>
        </w:p>
        <w:p w14:paraId="685F5EA3">
          <w:pPr>
            <w:tabs>
              <w:tab w:val="right" w:leader="dot" w:pos="8309"/>
            </w:tabs>
            <w:spacing w:before="155" w:line="314" w:lineRule="exact"/>
            <w:ind w:left="940"/>
            <w:rPr>
              <w:rFonts w:ascii="Arial" w:hAnsi="Arial" w:eastAsia="Arial" w:cs="Arial"/>
              <w:sz w:val="23"/>
              <w:szCs w:val="23"/>
            </w:rPr>
          </w:pPr>
          <w:r>
            <w:fldChar w:fldCharType="begin"/>
          </w:r>
          <w:r>
            <w:instrText xml:space="preserve"> HYPERLINK \l "bookmark37" </w:instrText>
          </w:r>
          <w:r>
            <w:fldChar w:fldCharType="separate"/>
          </w:r>
          <w:r>
            <w:rPr>
              <w:rFonts w:ascii="Times New Roman" w:hAnsi="Times New Roman" w:eastAsia="Times New Roman" w:cs="Times New Roman"/>
              <w:spacing w:val="6"/>
              <w:position w:val="1"/>
              <w:sz w:val="23"/>
              <w:szCs w:val="23"/>
            </w:rPr>
            <w:t>4.5.1</w:t>
          </w:r>
          <w:r>
            <w:rPr>
              <w:rFonts w:ascii="Times New Roman" w:hAnsi="Times New Roman" w:eastAsia="Times New Roman" w:cs="Times New Roman"/>
              <w:spacing w:val="16"/>
              <w:w w:val="101"/>
              <w:position w:val="1"/>
              <w:sz w:val="23"/>
              <w:szCs w:val="23"/>
            </w:rPr>
            <w:t xml:space="preserve">   </w:t>
          </w:r>
          <w:r>
            <w:rPr>
              <w:rFonts w:ascii="宋体" w:hAnsi="宋体" w:eastAsia="宋体" w:cs="宋体"/>
              <w:spacing w:val="6"/>
              <w:position w:val="1"/>
              <w:sz w:val="23"/>
              <w:szCs w:val="23"/>
            </w:rPr>
            <w:t>明确排查对象</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1"/>
              <w:position w:val="1"/>
              <w:sz w:val="23"/>
              <w:szCs w:val="23"/>
            </w:rPr>
            <w:t>26</w:t>
          </w:r>
          <w:r>
            <w:rPr>
              <w:rFonts w:ascii="Arial" w:hAnsi="Arial" w:eastAsia="Arial" w:cs="Arial"/>
              <w:spacing w:val="-1"/>
              <w:position w:val="1"/>
              <w:sz w:val="23"/>
              <w:szCs w:val="23"/>
            </w:rPr>
            <w:fldChar w:fldCharType="end"/>
          </w:r>
        </w:p>
        <w:p w14:paraId="65B9803C">
          <w:pPr>
            <w:tabs>
              <w:tab w:val="right" w:leader="dot" w:pos="8319"/>
            </w:tabs>
            <w:spacing w:before="198" w:line="219" w:lineRule="auto"/>
            <w:ind w:left="940"/>
            <w:rPr>
              <w:rFonts w:ascii="Arial" w:hAnsi="Arial" w:eastAsia="Arial" w:cs="Arial"/>
              <w:sz w:val="23"/>
              <w:szCs w:val="23"/>
            </w:rPr>
          </w:pPr>
          <w:r>
            <w:fldChar w:fldCharType="begin"/>
          </w:r>
          <w:r>
            <w:instrText xml:space="preserve"> HYPERLINK \l "bookmark38" </w:instrText>
          </w:r>
          <w:r>
            <w:fldChar w:fldCharType="separate"/>
          </w:r>
          <w:r>
            <w:rPr>
              <w:rFonts w:ascii="Times New Roman" w:hAnsi="Times New Roman" w:eastAsia="Times New Roman" w:cs="Times New Roman"/>
              <w:spacing w:val="6"/>
              <w:sz w:val="23"/>
              <w:szCs w:val="23"/>
            </w:rPr>
            <w:t xml:space="preserve">4.5.2   </w:t>
          </w:r>
          <w:r>
            <w:rPr>
              <w:rFonts w:ascii="宋体" w:hAnsi="宋体" w:eastAsia="宋体" w:cs="宋体"/>
              <w:spacing w:val="6"/>
              <w:sz w:val="23"/>
              <w:szCs w:val="23"/>
            </w:rPr>
            <w:t>切断污染源</w:t>
          </w:r>
          <w:r>
            <w:rPr>
              <w:rFonts w:ascii="宋体" w:hAnsi="宋体" w:eastAsia="宋体" w:cs="宋体"/>
              <w:spacing w:val="-87"/>
              <w:sz w:val="23"/>
              <w:szCs w:val="23"/>
            </w:rPr>
            <w:t xml:space="preserve"> </w:t>
          </w:r>
          <w:r>
            <w:rPr>
              <w:rFonts w:ascii="宋体" w:hAnsi="宋体" w:eastAsia="宋体" w:cs="宋体"/>
              <w:sz w:val="23"/>
              <w:szCs w:val="23"/>
            </w:rPr>
            <w:tab/>
          </w:r>
          <w:r>
            <w:rPr>
              <w:rFonts w:ascii="Arial" w:hAnsi="Arial" w:eastAsia="Arial" w:cs="Arial"/>
              <w:spacing w:val="-1"/>
              <w:sz w:val="23"/>
              <w:szCs w:val="23"/>
            </w:rPr>
            <w:t>27</w:t>
          </w:r>
          <w:r>
            <w:rPr>
              <w:rFonts w:ascii="Arial" w:hAnsi="Arial" w:eastAsia="Arial" w:cs="Arial"/>
              <w:spacing w:val="-1"/>
              <w:sz w:val="23"/>
              <w:szCs w:val="23"/>
            </w:rPr>
            <w:fldChar w:fldCharType="end"/>
          </w:r>
        </w:p>
        <w:p w14:paraId="23AF292C">
          <w:pPr>
            <w:tabs>
              <w:tab w:val="right" w:leader="dot" w:pos="8319"/>
            </w:tabs>
            <w:spacing w:before="190" w:line="221" w:lineRule="auto"/>
            <w:ind w:left="459"/>
            <w:rPr>
              <w:rFonts w:ascii="Arial" w:hAnsi="Arial" w:eastAsia="Arial" w:cs="Arial"/>
              <w:sz w:val="23"/>
              <w:szCs w:val="23"/>
            </w:rPr>
          </w:pPr>
          <w:r>
            <w:fldChar w:fldCharType="begin"/>
          </w:r>
          <w:r>
            <w:instrText xml:space="preserve"> HYPERLINK \l "bookmark39" </w:instrText>
          </w:r>
          <w:r>
            <w:fldChar w:fldCharType="separate"/>
          </w:r>
          <w:r>
            <w:rPr>
              <w:rFonts w:ascii="Times New Roman" w:hAnsi="Times New Roman" w:eastAsia="Times New Roman" w:cs="Times New Roman"/>
              <w:spacing w:val="8"/>
              <w:sz w:val="23"/>
              <w:szCs w:val="23"/>
            </w:rPr>
            <w:t xml:space="preserve">4.6  </w:t>
          </w:r>
          <w:r>
            <w:rPr>
              <w:rFonts w:ascii="宋体" w:hAnsi="宋体" w:eastAsia="宋体" w:cs="宋体"/>
              <w:spacing w:val="8"/>
              <w:sz w:val="23"/>
              <w:szCs w:val="23"/>
            </w:rPr>
            <w:t>应急处置</w:t>
          </w:r>
          <w:r>
            <w:rPr>
              <w:rFonts w:ascii="宋体" w:hAnsi="宋体" w:eastAsia="宋体" w:cs="宋体"/>
              <w:spacing w:val="-91"/>
              <w:sz w:val="23"/>
              <w:szCs w:val="23"/>
            </w:rPr>
            <w:t xml:space="preserve"> </w:t>
          </w:r>
          <w:r>
            <w:rPr>
              <w:rFonts w:ascii="宋体" w:hAnsi="宋体" w:eastAsia="宋体" w:cs="宋体"/>
              <w:sz w:val="23"/>
              <w:szCs w:val="23"/>
            </w:rPr>
            <w:tab/>
          </w:r>
          <w:r>
            <w:rPr>
              <w:rFonts w:ascii="Arial" w:hAnsi="Arial" w:eastAsia="Arial" w:cs="Arial"/>
              <w:sz w:val="23"/>
              <w:szCs w:val="23"/>
            </w:rPr>
            <w:t>27</w:t>
          </w:r>
          <w:r>
            <w:rPr>
              <w:rFonts w:ascii="Arial" w:hAnsi="Arial" w:eastAsia="Arial" w:cs="Arial"/>
              <w:sz w:val="23"/>
              <w:szCs w:val="23"/>
            </w:rPr>
            <w:fldChar w:fldCharType="end"/>
          </w:r>
        </w:p>
        <w:p w14:paraId="75DF09AA">
          <w:pPr>
            <w:tabs>
              <w:tab w:val="right" w:leader="dot" w:pos="8309"/>
            </w:tabs>
            <w:spacing w:before="192" w:line="220" w:lineRule="auto"/>
            <w:ind w:left="940"/>
            <w:rPr>
              <w:rFonts w:ascii="Arial" w:hAnsi="Arial" w:eastAsia="Arial" w:cs="Arial"/>
              <w:sz w:val="23"/>
              <w:szCs w:val="23"/>
            </w:rPr>
          </w:pPr>
          <w:r>
            <w:fldChar w:fldCharType="begin"/>
          </w:r>
          <w:r>
            <w:instrText xml:space="preserve"> HYPERLINK \l "bookmark40" </w:instrText>
          </w:r>
          <w:r>
            <w:fldChar w:fldCharType="separate"/>
          </w:r>
          <w:r>
            <w:rPr>
              <w:rFonts w:ascii="Times New Roman" w:hAnsi="Times New Roman" w:eastAsia="Times New Roman" w:cs="Times New Roman"/>
              <w:spacing w:val="8"/>
              <w:sz w:val="23"/>
              <w:szCs w:val="23"/>
            </w:rPr>
            <w:t xml:space="preserve">4.6.1   </w:t>
          </w:r>
          <w:r>
            <w:rPr>
              <w:rFonts w:ascii="宋体" w:hAnsi="宋体" w:eastAsia="宋体" w:cs="宋体"/>
              <w:spacing w:val="8"/>
              <w:sz w:val="23"/>
              <w:szCs w:val="23"/>
            </w:rPr>
            <w:t>制定现场处置方案</w:t>
          </w:r>
          <w:r>
            <w:rPr>
              <w:rFonts w:ascii="宋体" w:hAnsi="宋体" w:eastAsia="宋体" w:cs="宋体"/>
              <w:spacing w:val="-87"/>
              <w:sz w:val="23"/>
              <w:szCs w:val="23"/>
            </w:rPr>
            <w:t xml:space="preserve"> </w:t>
          </w:r>
          <w:r>
            <w:rPr>
              <w:rFonts w:ascii="宋体" w:hAnsi="宋体" w:eastAsia="宋体" w:cs="宋体"/>
              <w:sz w:val="23"/>
              <w:szCs w:val="23"/>
            </w:rPr>
            <w:tab/>
          </w:r>
          <w:r>
            <w:rPr>
              <w:rFonts w:ascii="Arial" w:hAnsi="Arial" w:eastAsia="Arial" w:cs="Arial"/>
              <w:spacing w:val="-1"/>
              <w:sz w:val="23"/>
              <w:szCs w:val="23"/>
            </w:rPr>
            <w:t>27</w:t>
          </w:r>
          <w:r>
            <w:rPr>
              <w:rFonts w:ascii="Arial" w:hAnsi="Arial" w:eastAsia="Arial" w:cs="Arial"/>
              <w:spacing w:val="-1"/>
              <w:sz w:val="23"/>
              <w:szCs w:val="23"/>
            </w:rPr>
            <w:fldChar w:fldCharType="end"/>
          </w:r>
        </w:p>
        <w:p w14:paraId="0322BEA0">
          <w:pPr>
            <w:tabs>
              <w:tab w:val="right" w:leader="dot" w:pos="8309"/>
            </w:tabs>
            <w:spacing w:before="163" w:line="313" w:lineRule="exact"/>
            <w:ind w:left="940"/>
            <w:rPr>
              <w:rFonts w:ascii="Arial" w:hAnsi="Arial" w:eastAsia="Arial" w:cs="Arial"/>
              <w:sz w:val="23"/>
              <w:szCs w:val="23"/>
            </w:rPr>
          </w:pPr>
          <w:r>
            <w:fldChar w:fldCharType="begin"/>
          </w:r>
          <w:r>
            <w:instrText xml:space="preserve"> HYPERLINK \l "bookmark41" </w:instrText>
          </w:r>
          <w:r>
            <w:fldChar w:fldCharType="separate"/>
          </w:r>
          <w:r>
            <w:rPr>
              <w:rFonts w:ascii="Times New Roman" w:hAnsi="Times New Roman" w:eastAsia="Times New Roman" w:cs="Times New Roman"/>
              <w:spacing w:val="8"/>
              <w:position w:val="1"/>
              <w:sz w:val="23"/>
              <w:szCs w:val="23"/>
            </w:rPr>
            <w:t>4.6.2</w:t>
          </w:r>
          <w:r>
            <w:rPr>
              <w:rFonts w:ascii="Times New Roman" w:hAnsi="Times New Roman" w:eastAsia="Times New Roman" w:cs="Times New Roman"/>
              <w:spacing w:val="16"/>
              <w:position w:val="1"/>
              <w:sz w:val="23"/>
              <w:szCs w:val="23"/>
            </w:rPr>
            <w:t xml:space="preserve">   </w:t>
          </w:r>
          <w:r>
            <w:rPr>
              <w:rFonts w:ascii="宋体" w:hAnsi="宋体" w:eastAsia="宋体" w:cs="宋体"/>
              <w:spacing w:val="8"/>
              <w:position w:val="1"/>
              <w:sz w:val="23"/>
              <w:szCs w:val="23"/>
            </w:rPr>
            <w:t>供水安全保障</w:t>
          </w:r>
          <w:r>
            <w:rPr>
              <w:rFonts w:ascii="宋体" w:hAnsi="宋体" w:eastAsia="宋体" w:cs="宋体"/>
              <w:spacing w:val="-105"/>
              <w:position w:val="1"/>
              <w:sz w:val="23"/>
              <w:szCs w:val="23"/>
            </w:rPr>
            <w:t xml:space="preserve"> </w:t>
          </w:r>
          <w:r>
            <w:rPr>
              <w:rFonts w:ascii="宋体" w:hAnsi="宋体" w:eastAsia="宋体" w:cs="宋体"/>
              <w:position w:val="1"/>
              <w:sz w:val="23"/>
              <w:szCs w:val="23"/>
            </w:rPr>
            <w:tab/>
          </w:r>
          <w:r>
            <w:rPr>
              <w:rFonts w:ascii="Arial" w:hAnsi="Arial" w:eastAsia="Arial" w:cs="Arial"/>
              <w:spacing w:val="-1"/>
              <w:position w:val="1"/>
              <w:sz w:val="23"/>
              <w:szCs w:val="23"/>
            </w:rPr>
            <w:t>28</w:t>
          </w:r>
          <w:r>
            <w:rPr>
              <w:rFonts w:ascii="Arial" w:hAnsi="Arial" w:eastAsia="Arial" w:cs="Arial"/>
              <w:spacing w:val="-1"/>
              <w:position w:val="1"/>
              <w:sz w:val="23"/>
              <w:szCs w:val="23"/>
            </w:rPr>
            <w:fldChar w:fldCharType="end"/>
          </w:r>
        </w:p>
        <w:p w14:paraId="08A3811F">
          <w:pPr>
            <w:tabs>
              <w:tab w:val="right" w:leader="dot" w:pos="8309"/>
            </w:tabs>
            <w:spacing w:before="148" w:line="313" w:lineRule="exact"/>
            <w:ind w:left="459"/>
            <w:rPr>
              <w:rFonts w:ascii="Arial" w:hAnsi="Arial" w:eastAsia="Arial" w:cs="Arial"/>
              <w:sz w:val="23"/>
              <w:szCs w:val="23"/>
            </w:rPr>
          </w:pPr>
          <w:r>
            <w:fldChar w:fldCharType="begin"/>
          </w:r>
          <w:r>
            <w:instrText xml:space="preserve"> HYPERLINK \l "bookmark42" </w:instrText>
          </w:r>
          <w:r>
            <w:fldChar w:fldCharType="separate"/>
          </w:r>
          <w:r>
            <w:rPr>
              <w:rFonts w:ascii="Times New Roman" w:hAnsi="Times New Roman" w:eastAsia="Times New Roman" w:cs="Times New Roman"/>
              <w:spacing w:val="10"/>
              <w:position w:val="1"/>
              <w:sz w:val="23"/>
              <w:szCs w:val="23"/>
            </w:rPr>
            <w:t xml:space="preserve">4.7  </w:t>
          </w:r>
          <w:r>
            <w:rPr>
              <w:rFonts w:ascii="宋体" w:hAnsi="宋体" w:eastAsia="宋体" w:cs="宋体"/>
              <w:spacing w:val="10"/>
              <w:position w:val="1"/>
              <w:sz w:val="23"/>
              <w:szCs w:val="23"/>
            </w:rPr>
            <w:t>物资调集及应急设施启用</w:t>
          </w:r>
          <w:r>
            <w:rPr>
              <w:rFonts w:ascii="宋体" w:hAnsi="宋体" w:eastAsia="宋体" w:cs="宋体"/>
              <w:position w:val="1"/>
              <w:sz w:val="23"/>
              <w:szCs w:val="23"/>
            </w:rPr>
            <w:tab/>
          </w:r>
          <w:r>
            <w:rPr>
              <w:rFonts w:ascii="Arial" w:hAnsi="Arial" w:eastAsia="Arial" w:cs="Arial"/>
              <w:spacing w:val="-1"/>
              <w:position w:val="1"/>
              <w:sz w:val="23"/>
              <w:szCs w:val="23"/>
            </w:rPr>
            <w:t>28</w:t>
          </w:r>
          <w:r>
            <w:rPr>
              <w:rFonts w:ascii="Arial" w:hAnsi="Arial" w:eastAsia="Arial" w:cs="Arial"/>
              <w:spacing w:val="-1"/>
              <w:position w:val="1"/>
              <w:sz w:val="23"/>
              <w:szCs w:val="23"/>
            </w:rPr>
            <w:fldChar w:fldCharType="end"/>
          </w:r>
        </w:p>
        <w:p w14:paraId="769235EF">
          <w:pPr>
            <w:tabs>
              <w:tab w:val="right" w:leader="dot" w:pos="8289"/>
            </w:tabs>
            <w:spacing w:before="156" w:line="313" w:lineRule="exact"/>
            <w:ind w:left="459"/>
            <w:rPr>
              <w:rFonts w:ascii="Arial" w:hAnsi="Arial" w:eastAsia="Arial" w:cs="Arial"/>
              <w:sz w:val="23"/>
              <w:szCs w:val="23"/>
            </w:rPr>
          </w:pPr>
          <w:r>
            <w:fldChar w:fldCharType="begin"/>
          </w:r>
          <w:r>
            <w:instrText xml:space="preserve"> HYPERLINK \l "bookmark43" </w:instrText>
          </w:r>
          <w:r>
            <w:fldChar w:fldCharType="separate"/>
          </w:r>
          <w:r>
            <w:rPr>
              <w:rFonts w:ascii="Times New Roman" w:hAnsi="Times New Roman" w:eastAsia="Times New Roman" w:cs="Times New Roman"/>
              <w:spacing w:val="10"/>
              <w:position w:val="1"/>
              <w:sz w:val="23"/>
              <w:szCs w:val="23"/>
            </w:rPr>
            <w:t xml:space="preserve">4.8  </w:t>
          </w:r>
          <w:r>
            <w:rPr>
              <w:rFonts w:ascii="宋体" w:hAnsi="宋体" w:eastAsia="宋体" w:cs="宋体"/>
              <w:spacing w:val="10"/>
              <w:position w:val="1"/>
              <w:sz w:val="23"/>
              <w:szCs w:val="23"/>
            </w:rPr>
            <w:t>舆情信息收集与信息发布</w:t>
          </w:r>
          <w:r>
            <w:rPr>
              <w:rFonts w:ascii="宋体" w:hAnsi="宋体" w:eastAsia="宋体" w:cs="宋体"/>
              <w:spacing w:val="-89"/>
              <w:position w:val="1"/>
              <w:sz w:val="23"/>
              <w:szCs w:val="23"/>
            </w:rPr>
            <w:t xml:space="preserve"> </w:t>
          </w:r>
          <w:r>
            <w:rPr>
              <w:rFonts w:ascii="宋体" w:hAnsi="宋体" w:eastAsia="宋体" w:cs="宋体"/>
              <w:position w:val="1"/>
              <w:sz w:val="23"/>
              <w:szCs w:val="23"/>
            </w:rPr>
            <w:tab/>
          </w:r>
          <w:r>
            <w:rPr>
              <w:rFonts w:ascii="宋体" w:hAnsi="宋体" w:eastAsia="宋体" w:cs="宋体"/>
              <w:spacing w:val="1"/>
              <w:position w:val="1"/>
              <w:sz w:val="23"/>
              <w:szCs w:val="23"/>
            </w:rPr>
            <w:t xml:space="preserve"> </w:t>
          </w:r>
          <w:r>
            <w:rPr>
              <w:rFonts w:ascii="Arial" w:hAnsi="Arial" w:eastAsia="Arial" w:cs="Arial"/>
              <w:spacing w:val="-2"/>
              <w:position w:val="1"/>
              <w:sz w:val="23"/>
              <w:szCs w:val="23"/>
            </w:rPr>
            <w:t>29</w:t>
          </w:r>
          <w:r>
            <w:rPr>
              <w:rFonts w:ascii="Arial" w:hAnsi="Arial" w:eastAsia="Arial" w:cs="Arial"/>
              <w:spacing w:val="-2"/>
              <w:position w:val="1"/>
              <w:sz w:val="23"/>
              <w:szCs w:val="23"/>
            </w:rPr>
            <w:fldChar w:fldCharType="end"/>
          </w:r>
        </w:p>
        <w:p w14:paraId="551C12EB">
          <w:pPr>
            <w:tabs>
              <w:tab w:val="right" w:leader="dot" w:pos="8319"/>
            </w:tabs>
            <w:spacing w:before="160" w:line="314" w:lineRule="exact"/>
            <w:ind w:left="459"/>
            <w:rPr>
              <w:rFonts w:ascii="Arial" w:hAnsi="Arial" w:eastAsia="Arial" w:cs="Arial"/>
              <w:sz w:val="23"/>
              <w:szCs w:val="23"/>
            </w:rPr>
          </w:pPr>
          <w:r>
            <w:fldChar w:fldCharType="begin"/>
          </w:r>
          <w:r>
            <w:instrText xml:space="preserve"> HYPERLINK \l "bookmark44" </w:instrText>
          </w:r>
          <w:r>
            <w:fldChar w:fldCharType="separate"/>
          </w:r>
          <w:r>
            <w:rPr>
              <w:rFonts w:ascii="Times New Roman" w:hAnsi="Times New Roman" w:eastAsia="Times New Roman" w:cs="Times New Roman"/>
              <w:color w:val="001010"/>
              <w:spacing w:val="6"/>
              <w:position w:val="1"/>
              <w:sz w:val="23"/>
              <w:szCs w:val="23"/>
            </w:rPr>
            <w:t>4.9</w:t>
          </w:r>
          <w:r>
            <w:rPr>
              <w:rFonts w:ascii="Times New Roman" w:hAnsi="Times New Roman" w:eastAsia="Times New Roman" w:cs="Times New Roman"/>
              <w:color w:val="001010"/>
              <w:spacing w:val="17"/>
              <w:w w:val="101"/>
              <w:position w:val="1"/>
              <w:sz w:val="23"/>
              <w:szCs w:val="23"/>
            </w:rPr>
            <w:t xml:space="preserve">  </w:t>
          </w:r>
          <w:r>
            <w:rPr>
              <w:rFonts w:ascii="宋体" w:hAnsi="宋体" w:eastAsia="宋体" w:cs="宋体"/>
              <w:color w:val="001010"/>
              <w:spacing w:val="6"/>
              <w:position w:val="1"/>
              <w:sz w:val="23"/>
              <w:szCs w:val="23"/>
            </w:rPr>
            <w:t>响应终止</w:t>
          </w:r>
          <w:r>
            <w:rPr>
              <w:rFonts w:ascii="宋体" w:hAnsi="宋体" w:eastAsia="宋体" w:cs="宋体"/>
              <w:color w:val="001010"/>
              <w:spacing w:val="-96"/>
              <w:position w:val="1"/>
              <w:sz w:val="23"/>
              <w:szCs w:val="23"/>
            </w:rPr>
            <w:t xml:space="preserve"> </w:t>
          </w:r>
          <w:r>
            <w:rPr>
              <w:rFonts w:ascii="宋体" w:hAnsi="宋体" w:eastAsia="宋体" w:cs="宋体"/>
              <w:color w:val="101020"/>
              <w:position w:val="1"/>
              <w:sz w:val="23"/>
              <w:szCs w:val="23"/>
            </w:rPr>
            <w:tab/>
          </w:r>
          <w:r>
            <w:rPr>
              <w:rFonts w:ascii="Arial" w:hAnsi="Arial" w:eastAsia="Arial" w:cs="Arial"/>
              <w:color w:val="001010"/>
              <w:position w:val="1"/>
              <w:sz w:val="23"/>
              <w:szCs w:val="23"/>
            </w:rPr>
            <w:t>29</w:t>
          </w:r>
          <w:r>
            <w:rPr>
              <w:rFonts w:ascii="Arial" w:hAnsi="Arial" w:eastAsia="Arial" w:cs="Arial"/>
              <w:color w:val="001010"/>
              <w:position w:val="1"/>
              <w:sz w:val="23"/>
              <w:szCs w:val="23"/>
            </w:rPr>
            <w:fldChar w:fldCharType="end"/>
          </w:r>
        </w:p>
        <w:p w14:paraId="6BC2451F">
          <w:pPr>
            <w:tabs>
              <w:tab w:val="right" w:leader="dot" w:pos="8319"/>
            </w:tabs>
            <w:spacing w:before="154" w:line="313" w:lineRule="exact"/>
            <w:ind w:left="940"/>
            <w:rPr>
              <w:rFonts w:ascii="Arial" w:hAnsi="Arial" w:eastAsia="Arial" w:cs="Arial"/>
              <w:sz w:val="23"/>
              <w:szCs w:val="23"/>
            </w:rPr>
          </w:pPr>
          <w:r>
            <w:fldChar w:fldCharType="begin"/>
          </w:r>
          <w:r>
            <w:instrText xml:space="preserve"> HYPERLINK \l "bookmark45" </w:instrText>
          </w:r>
          <w:r>
            <w:fldChar w:fldCharType="separate"/>
          </w:r>
          <w:r>
            <w:rPr>
              <w:rFonts w:ascii="Times New Roman" w:hAnsi="Times New Roman" w:eastAsia="Times New Roman" w:cs="Times New Roman"/>
              <w:spacing w:val="9"/>
              <w:position w:val="1"/>
              <w:sz w:val="23"/>
              <w:szCs w:val="23"/>
            </w:rPr>
            <w:t>4.9.1</w:t>
          </w:r>
          <w:r>
            <w:rPr>
              <w:rFonts w:ascii="Times New Roman" w:hAnsi="Times New Roman" w:eastAsia="Times New Roman" w:cs="Times New Roman"/>
              <w:spacing w:val="12"/>
              <w:position w:val="1"/>
              <w:sz w:val="23"/>
              <w:szCs w:val="23"/>
            </w:rPr>
            <w:t xml:space="preserve">   </w:t>
          </w:r>
          <w:r>
            <w:rPr>
              <w:rFonts w:ascii="宋体" w:hAnsi="宋体" w:eastAsia="宋体" w:cs="宋体"/>
              <w:spacing w:val="9"/>
              <w:position w:val="1"/>
              <w:sz w:val="23"/>
              <w:szCs w:val="23"/>
            </w:rPr>
            <w:t>应急终止条件</w:t>
          </w:r>
          <w:r>
            <w:rPr>
              <w:rFonts w:ascii="宋体" w:hAnsi="宋体" w:eastAsia="宋体" w:cs="宋体"/>
              <w:spacing w:val="-94"/>
              <w:position w:val="1"/>
              <w:sz w:val="23"/>
              <w:szCs w:val="23"/>
            </w:rPr>
            <w:t xml:space="preserve"> </w:t>
          </w:r>
          <w:r>
            <w:rPr>
              <w:rFonts w:ascii="宋体" w:hAnsi="宋体" w:eastAsia="宋体" w:cs="宋体"/>
              <w:position w:val="1"/>
              <w:sz w:val="23"/>
              <w:szCs w:val="23"/>
            </w:rPr>
            <w:tab/>
          </w:r>
          <w:r>
            <w:rPr>
              <w:rFonts w:ascii="Arial" w:hAnsi="Arial" w:eastAsia="Arial" w:cs="Arial"/>
              <w:spacing w:val="-1"/>
              <w:position w:val="1"/>
              <w:sz w:val="23"/>
              <w:szCs w:val="23"/>
            </w:rPr>
            <w:t>29</w:t>
          </w:r>
          <w:r>
            <w:rPr>
              <w:rFonts w:ascii="Arial" w:hAnsi="Arial" w:eastAsia="Arial" w:cs="Arial"/>
              <w:spacing w:val="-1"/>
              <w:position w:val="1"/>
              <w:sz w:val="23"/>
              <w:szCs w:val="23"/>
            </w:rPr>
            <w:fldChar w:fldCharType="end"/>
          </w:r>
        </w:p>
        <w:p w14:paraId="4491BCDB">
          <w:pPr>
            <w:tabs>
              <w:tab w:val="right" w:leader="dot" w:pos="8295"/>
            </w:tabs>
            <w:spacing w:before="157" w:line="314" w:lineRule="exact"/>
            <w:rPr>
              <w:rFonts w:ascii="Arial" w:hAnsi="Arial" w:eastAsia="Arial" w:cs="Arial"/>
              <w:sz w:val="23"/>
              <w:szCs w:val="23"/>
            </w:rPr>
          </w:pPr>
          <w:r>
            <w:fldChar w:fldCharType="begin"/>
          </w:r>
          <w:r>
            <w:instrText xml:space="preserve"> HYPERLINK \l "bookmark46" </w:instrText>
          </w:r>
          <w:r>
            <w:fldChar w:fldCharType="separate"/>
          </w:r>
          <w:r>
            <w:rPr>
              <w:rFonts w:ascii="Times New Roman" w:hAnsi="Times New Roman" w:eastAsia="Times New Roman" w:cs="Times New Roman"/>
              <w:spacing w:val="6"/>
              <w:position w:val="1"/>
              <w:sz w:val="23"/>
              <w:szCs w:val="23"/>
            </w:rPr>
            <w:t xml:space="preserve">5.   </w:t>
          </w:r>
          <w:r>
            <w:rPr>
              <w:rFonts w:ascii="宋体" w:hAnsi="宋体" w:eastAsia="宋体" w:cs="宋体"/>
              <w:spacing w:val="6"/>
              <w:position w:val="1"/>
              <w:sz w:val="23"/>
              <w:szCs w:val="23"/>
            </w:rPr>
            <w:t>后期工作</w:t>
          </w:r>
          <w:r>
            <w:rPr>
              <w:rFonts w:ascii="宋体" w:hAnsi="宋体" w:eastAsia="宋体" w:cs="宋体"/>
              <w:spacing w:val="-96"/>
              <w:position w:val="1"/>
              <w:sz w:val="23"/>
              <w:szCs w:val="23"/>
            </w:rPr>
            <w:t xml:space="preserve"> </w:t>
          </w:r>
          <w:r>
            <w:rPr>
              <w:rFonts w:ascii="宋体" w:hAnsi="宋体" w:eastAsia="宋体" w:cs="宋体"/>
              <w:position w:val="1"/>
              <w:sz w:val="23"/>
              <w:szCs w:val="23"/>
            </w:rPr>
            <w:tab/>
          </w:r>
          <w:r>
            <w:rPr>
              <w:rFonts w:ascii="宋体" w:hAnsi="宋体" w:eastAsia="宋体" w:cs="宋体"/>
              <w:spacing w:val="-48"/>
              <w:position w:val="1"/>
              <w:sz w:val="23"/>
              <w:szCs w:val="23"/>
            </w:rPr>
            <w:t xml:space="preserve"> </w:t>
          </w:r>
          <w:r>
            <w:rPr>
              <w:rFonts w:ascii="Arial" w:hAnsi="Arial" w:eastAsia="Arial" w:cs="Arial"/>
              <w:spacing w:val="-3"/>
              <w:position w:val="1"/>
              <w:sz w:val="23"/>
              <w:szCs w:val="23"/>
            </w:rPr>
            <w:t>30</w:t>
          </w:r>
          <w:r>
            <w:rPr>
              <w:rFonts w:ascii="Arial" w:hAnsi="Arial" w:eastAsia="Arial" w:cs="Arial"/>
              <w:spacing w:val="-3"/>
              <w:position w:val="1"/>
              <w:sz w:val="23"/>
              <w:szCs w:val="23"/>
            </w:rPr>
            <w:fldChar w:fldCharType="end"/>
          </w:r>
        </w:p>
        <w:p w14:paraId="56C29889">
          <w:pPr>
            <w:tabs>
              <w:tab w:val="right" w:leader="dot" w:pos="8295"/>
            </w:tabs>
            <w:spacing w:before="156" w:line="314" w:lineRule="exact"/>
            <w:ind w:left="459"/>
            <w:rPr>
              <w:rFonts w:ascii="Arial" w:hAnsi="Arial" w:eastAsia="Arial" w:cs="Arial"/>
              <w:sz w:val="23"/>
              <w:szCs w:val="23"/>
            </w:rPr>
          </w:pPr>
          <w:r>
            <w:fldChar w:fldCharType="begin"/>
          </w:r>
          <w:r>
            <w:instrText xml:space="preserve"> HYPERLINK \l "bookmark47" </w:instrText>
          </w:r>
          <w:r>
            <w:fldChar w:fldCharType="separate"/>
          </w:r>
          <w:r>
            <w:rPr>
              <w:rFonts w:ascii="Times New Roman" w:hAnsi="Times New Roman" w:eastAsia="Times New Roman" w:cs="Times New Roman"/>
              <w:spacing w:val="9"/>
              <w:position w:val="1"/>
              <w:sz w:val="23"/>
              <w:szCs w:val="23"/>
            </w:rPr>
            <w:t xml:space="preserve">5.1  </w:t>
          </w:r>
          <w:r>
            <w:rPr>
              <w:rFonts w:ascii="宋体" w:hAnsi="宋体" w:eastAsia="宋体" w:cs="宋体"/>
              <w:spacing w:val="9"/>
              <w:position w:val="1"/>
              <w:sz w:val="23"/>
              <w:szCs w:val="23"/>
            </w:rPr>
            <w:t>后期防控</w:t>
          </w:r>
          <w:r>
            <w:rPr>
              <w:rFonts w:ascii="宋体" w:hAnsi="宋体" w:eastAsia="宋体" w:cs="宋体"/>
              <w:spacing w:val="-90"/>
              <w:position w:val="1"/>
              <w:sz w:val="23"/>
              <w:szCs w:val="23"/>
            </w:rPr>
            <w:t xml:space="preserve"> </w:t>
          </w:r>
          <w:r>
            <w:rPr>
              <w:rFonts w:ascii="宋体" w:hAnsi="宋体" w:eastAsia="宋体" w:cs="宋体"/>
              <w:position w:val="1"/>
              <w:sz w:val="23"/>
              <w:szCs w:val="23"/>
            </w:rPr>
            <w:tab/>
          </w:r>
          <w:r>
            <w:rPr>
              <w:rFonts w:ascii="Arial" w:hAnsi="Arial" w:eastAsia="Arial" w:cs="Arial"/>
              <w:spacing w:val="-2"/>
              <w:position w:val="1"/>
              <w:sz w:val="23"/>
              <w:szCs w:val="23"/>
            </w:rPr>
            <w:t>30</w:t>
          </w:r>
          <w:r>
            <w:rPr>
              <w:rFonts w:ascii="Arial" w:hAnsi="Arial" w:eastAsia="Arial" w:cs="Arial"/>
              <w:spacing w:val="-2"/>
              <w:position w:val="1"/>
              <w:sz w:val="23"/>
              <w:szCs w:val="23"/>
            </w:rPr>
            <w:fldChar w:fldCharType="end"/>
          </w:r>
        </w:p>
        <w:p w14:paraId="762880CD">
          <w:pPr>
            <w:tabs>
              <w:tab w:val="right" w:leader="dot" w:pos="8305"/>
            </w:tabs>
            <w:spacing w:before="145" w:line="314" w:lineRule="exact"/>
            <w:ind w:left="459"/>
            <w:rPr>
              <w:rFonts w:ascii="Arial" w:hAnsi="Arial" w:eastAsia="Arial" w:cs="Arial"/>
              <w:sz w:val="23"/>
              <w:szCs w:val="23"/>
            </w:rPr>
          </w:pPr>
          <w:r>
            <w:fldChar w:fldCharType="begin"/>
          </w:r>
          <w:r>
            <w:instrText xml:space="preserve"> HYPERLINK \l "bookmark48" </w:instrText>
          </w:r>
          <w:r>
            <w:fldChar w:fldCharType="separate"/>
          </w:r>
          <w:r>
            <w:rPr>
              <w:rFonts w:ascii="Times New Roman" w:hAnsi="Times New Roman" w:eastAsia="Times New Roman" w:cs="Times New Roman"/>
              <w:spacing w:val="5"/>
              <w:position w:val="1"/>
              <w:sz w:val="23"/>
              <w:szCs w:val="23"/>
            </w:rPr>
            <w:t>5.2</w:t>
          </w:r>
          <w:r>
            <w:rPr>
              <w:rFonts w:ascii="Times New Roman" w:hAnsi="Times New Roman" w:eastAsia="Times New Roman" w:cs="Times New Roman"/>
              <w:spacing w:val="21"/>
              <w:w w:val="101"/>
              <w:position w:val="1"/>
              <w:sz w:val="23"/>
              <w:szCs w:val="23"/>
            </w:rPr>
            <w:t xml:space="preserve">  </w:t>
          </w:r>
          <w:r>
            <w:rPr>
              <w:rFonts w:ascii="宋体" w:hAnsi="宋体" w:eastAsia="宋体" w:cs="宋体"/>
              <w:spacing w:val="5"/>
              <w:position w:val="1"/>
              <w:sz w:val="23"/>
              <w:szCs w:val="23"/>
            </w:rPr>
            <w:t>事件调查</w:t>
          </w:r>
          <w:r>
            <w:rPr>
              <w:rFonts w:ascii="宋体" w:hAnsi="宋体" w:eastAsia="宋体" w:cs="宋体"/>
              <w:spacing w:val="-97"/>
              <w:position w:val="1"/>
              <w:sz w:val="23"/>
              <w:szCs w:val="23"/>
            </w:rPr>
            <w:t xml:space="preserve"> </w:t>
          </w:r>
          <w:r>
            <w:rPr>
              <w:rFonts w:ascii="宋体" w:hAnsi="宋体" w:eastAsia="宋体" w:cs="宋体"/>
              <w:position w:val="1"/>
              <w:sz w:val="23"/>
              <w:szCs w:val="23"/>
            </w:rPr>
            <w:tab/>
          </w:r>
          <w:r>
            <w:rPr>
              <w:rFonts w:ascii="Arial" w:hAnsi="Arial" w:eastAsia="Arial" w:cs="Arial"/>
              <w:spacing w:val="-4"/>
              <w:position w:val="1"/>
              <w:sz w:val="23"/>
              <w:szCs w:val="23"/>
            </w:rPr>
            <w:t>30</w:t>
          </w:r>
          <w:r>
            <w:rPr>
              <w:rFonts w:ascii="Arial" w:hAnsi="Arial" w:eastAsia="Arial" w:cs="Arial"/>
              <w:spacing w:val="-4"/>
              <w:position w:val="1"/>
              <w:sz w:val="23"/>
              <w:szCs w:val="23"/>
            </w:rPr>
            <w:fldChar w:fldCharType="end"/>
          </w:r>
        </w:p>
        <w:p w14:paraId="700ABF08">
          <w:pPr>
            <w:tabs>
              <w:tab w:val="right" w:leader="dot" w:pos="8315"/>
            </w:tabs>
            <w:spacing w:before="165" w:line="313" w:lineRule="exact"/>
            <w:ind w:left="459"/>
            <w:rPr>
              <w:rFonts w:ascii="Arial" w:hAnsi="Arial" w:eastAsia="Arial" w:cs="Arial"/>
              <w:sz w:val="23"/>
              <w:szCs w:val="23"/>
            </w:rPr>
          </w:pPr>
          <w:r>
            <w:fldChar w:fldCharType="begin"/>
          </w:r>
          <w:r>
            <w:instrText xml:space="preserve"> HYPERLINK \l "bookmark49" </w:instrText>
          </w:r>
          <w:r>
            <w:fldChar w:fldCharType="separate"/>
          </w:r>
          <w:r>
            <w:rPr>
              <w:rFonts w:ascii="Times New Roman" w:hAnsi="Times New Roman" w:eastAsia="Times New Roman" w:cs="Times New Roman"/>
              <w:spacing w:val="4"/>
              <w:position w:val="1"/>
              <w:sz w:val="23"/>
              <w:szCs w:val="23"/>
            </w:rPr>
            <w:t>5.3</w:t>
          </w:r>
          <w:r>
            <w:rPr>
              <w:rFonts w:ascii="Times New Roman" w:hAnsi="Times New Roman" w:eastAsia="Times New Roman" w:cs="Times New Roman"/>
              <w:spacing w:val="14"/>
              <w:w w:val="101"/>
              <w:position w:val="1"/>
              <w:sz w:val="23"/>
              <w:szCs w:val="23"/>
            </w:rPr>
            <w:t xml:space="preserve">  </w:t>
          </w:r>
          <w:r>
            <w:rPr>
              <w:rFonts w:ascii="宋体" w:hAnsi="宋体" w:eastAsia="宋体" w:cs="宋体"/>
              <w:spacing w:val="4"/>
              <w:position w:val="1"/>
              <w:sz w:val="23"/>
              <w:szCs w:val="23"/>
            </w:rPr>
            <w:t>损害评估</w:t>
          </w:r>
          <w:r>
            <w:rPr>
              <w:rFonts w:ascii="宋体" w:hAnsi="宋体" w:eastAsia="宋体" w:cs="宋体"/>
              <w:spacing w:val="-106"/>
              <w:position w:val="1"/>
              <w:sz w:val="23"/>
              <w:szCs w:val="23"/>
            </w:rPr>
            <w:t xml:space="preserve"> </w:t>
          </w:r>
          <w:r>
            <w:rPr>
              <w:rFonts w:ascii="宋体" w:hAnsi="宋体" w:eastAsia="宋体" w:cs="宋体"/>
              <w:position w:val="1"/>
              <w:sz w:val="23"/>
              <w:szCs w:val="23"/>
            </w:rPr>
            <w:tab/>
          </w:r>
          <w:r>
            <w:rPr>
              <w:rFonts w:ascii="Arial" w:hAnsi="Arial" w:eastAsia="Arial" w:cs="Arial"/>
              <w:spacing w:val="13"/>
              <w:position w:val="1"/>
              <w:sz w:val="23"/>
              <w:szCs w:val="23"/>
            </w:rPr>
            <w:t>30</w:t>
          </w:r>
          <w:r>
            <w:rPr>
              <w:rFonts w:ascii="Arial" w:hAnsi="Arial" w:eastAsia="Arial" w:cs="Arial"/>
              <w:spacing w:val="13"/>
              <w:position w:val="1"/>
              <w:sz w:val="23"/>
              <w:szCs w:val="23"/>
            </w:rPr>
            <w:fldChar w:fldCharType="end"/>
          </w:r>
        </w:p>
        <w:p w14:paraId="0BD63AC3">
          <w:pPr>
            <w:tabs>
              <w:tab w:val="right" w:leader="dot" w:pos="8325"/>
            </w:tabs>
            <w:spacing w:before="149" w:line="314" w:lineRule="exact"/>
            <w:ind w:left="459"/>
            <w:rPr>
              <w:rFonts w:ascii="Arial" w:hAnsi="Arial" w:eastAsia="Arial" w:cs="Arial"/>
              <w:sz w:val="23"/>
              <w:szCs w:val="23"/>
            </w:rPr>
          </w:pPr>
          <w:r>
            <w:fldChar w:fldCharType="begin"/>
          </w:r>
          <w:r>
            <w:instrText xml:space="preserve"> HYPERLINK \l "bookmark50" </w:instrText>
          </w:r>
          <w:r>
            <w:fldChar w:fldCharType="separate"/>
          </w:r>
          <w:r>
            <w:rPr>
              <w:rFonts w:ascii="Times New Roman" w:hAnsi="Times New Roman" w:eastAsia="Times New Roman" w:cs="Times New Roman"/>
              <w:spacing w:val="3"/>
              <w:position w:val="1"/>
              <w:sz w:val="23"/>
              <w:szCs w:val="23"/>
            </w:rPr>
            <w:t>5.4</w:t>
          </w:r>
          <w:r>
            <w:rPr>
              <w:rFonts w:ascii="Times New Roman" w:hAnsi="Times New Roman" w:eastAsia="Times New Roman" w:cs="Times New Roman"/>
              <w:spacing w:val="16"/>
              <w:w w:val="101"/>
              <w:position w:val="1"/>
              <w:sz w:val="23"/>
              <w:szCs w:val="23"/>
            </w:rPr>
            <w:t xml:space="preserve">  </w:t>
          </w:r>
          <w:r>
            <w:rPr>
              <w:rFonts w:ascii="宋体" w:hAnsi="宋体" w:eastAsia="宋体" w:cs="宋体"/>
              <w:color w:val="203040"/>
              <w:spacing w:val="3"/>
              <w:position w:val="1"/>
              <w:sz w:val="23"/>
              <w:szCs w:val="23"/>
            </w:rPr>
            <w:t>善</w:t>
          </w:r>
          <w:r>
            <w:rPr>
              <w:rFonts w:ascii="宋体" w:hAnsi="宋体" w:eastAsia="宋体" w:cs="宋体"/>
              <w:spacing w:val="3"/>
              <w:position w:val="1"/>
              <w:sz w:val="23"/>
              <w:szCs w:val="23"/>
            </w:rPr>
            <w:t>后处置</w:t>
          </w:r>
          <w:r>
            <w:rPr>
              <w:rFonts w:ascii="宋体" w:hAnsi="宋体" w:eastAsia="宋体" w:cs="宋体"/>
              <w:spacing w:val="-93"/>
              <w:position w:val="1"/>
              <w:sz w:val="23"/>
              <w:szCs w:val="23"/>
            </w:rPr>
            <w:t xml:space="preserve"> </w:t>
          </w:r>
          <w:r>
            <w:rPr>
              <w:rFonts w:ascii="宋体" w:hAnsi="宋体" w:eastAsia="宋体" w:cs="宋体"/>
              <w:position w:val="1"/>
              <w:sz w:val="23"/>
              <w:szCs w:val="23"/>
            </w:rPr>
            <w:tab/>
          </w:r>
          <w:r>
            <w:rPr>
              <w:rFonts w:ascii="Arial" w:hAnsi="Arial" w:eastAsia="Arial" w:cs="Arial"/>
              <w:spacing w:val="13"/>
              <w:position w:val="1"/>
              <w:sz w:val="23"/>
              <w:szCs w:val="23"/>
            </w:rPr>
            <w:t>30</w:t>
          </w:r>
          <w:r>
            <w:rPr>
              <w:rFonts w:ascii="Arial" w:hAnsi="Arial" w:eastAsia="Arial" w:cs="Arial"/>
              <w:spacing w:val="13"/>
              <w:position w:val="1"/>
              <w:sz w:val="23"/>
              <w:szCs w:val="23"/>
            </w:rPr>
            <w:fldChar w:fldCharType="end"/>
          </w:r>
        </w:p>
        <w:p w14:paraId="737867BD">
          <w:pPr>
            <w:tabs>
              <w:tab w:val="right" w:leader="dot" w:pos="8325"/>
            </w:tabs>
            <w:spacing w:before="155" w:line="314" w:lineRule="exact"/>
            <w:rPr>
              <w:rFonts w:ascii="Arial" w:hAnsi="Arial" w:eastAsia="Arial" w:cs="Arial"/>
              <w:sz w:val="23"/>
              <w:szCs w:val="23"/>
            </w:rPr>
          </w:pPr>
          <w:r>
            <w:fldChar w:fldCharType="begin"/>
          </w:r>
          <w:r>
            <w:instrText xml:space="preserve"> HYPERLINK \l "bookmark51" </w:instrText>
          </w:r>
          <w:r>
            <w:fldChar w:fldCharType="separate"/>
          </w:r>
          <w:r>
            <w:rPr>
              <w:rFonts w:ascii="Times New Roman" w:hAnsi="Times New Roman" w:eastAsia="Times New Roman" w:cs="Times New Roman"/>
              <w:spacing w:val="8"/>
              <w:position w:val="1"/>
              <w:sz w:val="23"/>
              <w:szCs w:val="23"/>
            </w:rPr>
            <w:t>6</w:t>
          </w:r>
          <w:r>
            <w:rPr>
              <w:rFonts w:ascii="Times New Roman" w:hAnsi="Times New Roman" w:eastAsia="Times New Roman" w:cs="Times New Roman"/>
              <w:spacing w:val="17"/>
              <w:position w:val="1"/>
              <w:sz w:val="23"/>
              <w:szCs w:val="23"/>
            </w:rPr>
            <w:t xml:space="preserve"> </w:t>
          </w:r>
          <w:r>
            <w:rPr>
              <w:rFonts w:ascii="宋体" w:hAnsi="宋体" w:eastAsia="宋体" w:cs="宋体"/>
              <w:spacing w:val="8"/>
              <w:position w:val="1"/>
              <w:sz w:val="23"/>
              <w:szCs w:val="23"/>
            </w:rPr>
            <w:t>应急保障</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13"/>
              <w:position w:val="1"/>
              <w:sz w:val="23"/>
              <w:szCs w:val="23"/>
            </w:rPr>
            <w:t>31</w:t>
          </w:r>
          <w:r>
            <w:rPr>
              <w:rFonts w:ascii="Arial" w:hAnsi="Arial" w:eastAsia="Arial" w:cs="Arial"/>
              <w:spacing w:val="13"/>
              <w:position w:val="1"/>
              <w:sz w:val="23"/>
              <w:szCs w:val="23"/>
            </w:rPr>
            <w:fldChar w:fldCharType="end"/>
          </w:r>
        </w:p>
        <w:p w14:paraId="41D07576">
          <w:pPr>
            <w:tabs>
              <w:tab w:val="right" w:leader="dot" w:pos="8325"/>
            </w:tabs>
            <w:spacing w:before="157" w:line="313" w:lineRule="exact"/>
            <w:ind w:left="459"/>
            <w:rPr>
              <w:rFonts w:ascii="Arial" w:hAnsi="Arial" w:eastAsia="Arial" w:cs="Arial"/>
              <w:sz w:val="23"/>
              <w:szCs w:val="23"/>
            </w:rPr>
          </w:pPr>
          <w:r>
            <w:fldChar w:fldCharType="begin"/>
          </w:r>
          <w:r>
            <w:instrText xml:space="preserve"> HYPERLINK \l "bookmark52" </w:instrText>
          </w:r>
          <w:r>
            <w:fldChar w:fldCharType="separate"/>
          </w:r>
          <w:r>
            <w:rPr>
              <w:rFonts w:ascii="Times New Roman" w:hAnsi="Times New Roman" w:eastAsia="Times New Roman" w:cs="Times New Roman"/>
              <w:spacing w:val="8"/>
              <w:position w:val="1"/>
              <w:sz w:val="23"/>
              <w:szCs w:val="23"/>
            </w:rPr>
            <w:t>6.1</w:t>
          </w:r>
          <w:r>
            <w:rPr>
              <w:rFonts w:ascii="Times New Roman" w:hAnsi="Times New Roman" w:eastAsia="Times New Roman" w:cs="Times New Roman"/>
              <w:spacing w:val="18"/>
              <w:w w:val="101"/>
              <w:position w:val="1"/>
              <w:sz w:val="23"/>
              <w:szCs w:val="23"/>
            </w:rPr>
            <w:t xml:space="preserve">  </w:t>
          </w:r>
          <w:r>
            <w:rPr>
              <w:rFonts w:ascii="宋体" w:hAnsi="宋体" w:eastAsia="宋体" w:cs="宋体"/>
              <w:spacing w:val="8"/>
              <w:position w:val="1"/>
              <w:sz w:val="23"/>
              <w:szCs w:val="23"/>
            </w:rPr>
            <w:t>通讯与信息保障</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2"/>
              <w:position w:val="1"/>
              <w:sz w:val="23"/>
              <w:szCs w:val="23"/>
            </w:rPr>
            <w:t>31</w:t>
          </w:r>
          <w:r>
            <w:rPr>
              <w:rFonts w:ascii="Arial" w:hAnsi="Arial" w:eastAsia="Arial" w:cs="Arial"/>
              <w:spacing w:val="-2"/>
              <w:position w:val="1"/>
              <w:sz w:val="23"/>
              <w:szCs w:val="23"/>
            </w:rPr>
            <w:fldChar w:fldCharType="end"/>
          </w:r>
        </w:p>
        <w:p w14:paraId="22317D02">
          <w:pPr>
            <w:tabs>
              <w:tab w:val="right" w:leader="dot" w:pos="8325"/>
            </w:tabs>
            <w:spacing w:before="157" w:line="313" w:lineRule="exact"/>
            <w:ind w:left="459"/>
            <w:rPr>
              <w:rFonts w:ascii="Arial" w:hAnsi="Arial" w:eastAsia="Arial" w:cs="Arial"/>
              <w:sz w:val="23"/>
              <w:szCs w:val="23"/>
            </w:rPr>
          </w:pPr>
          <w:r>
            <w:fldChar w:fldCharType="begin"/>
          </w:r>
          <w:r>
            <w:instrText xml:space="preserve"> HYPERLINK \l "bookmark53" </w:instrText>
          </w:r>
          <w:r>
            <w:fldChar w:fldCharType="separate"/>
          </w:r>
          <w:r>
            <w:rPr>
              <w:rFonts w:ascii="Times New Roman" w:hAnsi="Times New Roman" w:eastAsia="Times New Roman" w:cs="Times New Roman"/>
              <w:color w:val="000010"/>
              <w:spacing w:val="7"/>
              <w:position w:val="1"/>
              <w:sz w:val="23"/>
              <w:szCs w:val="23"/>
            </w:rPr>
            <w:t>6.2</w:t>
          </w:r>
          <w:r>
            <w:rPr>
              <w:rFonts w:ascii="Times New Roman" w:hAnsi="Times New Roman" w:eastAsia="Times New Roman" w:cs="Times New Roman"/>
              <w:color w:val="000010"/>
              <w:spacing w:val="16"/>
              <w:w w:val="101"/>
              <w:position w:val="1"/>
              <w:sz w:val="23"/>
              <w:szCs w:val="23"/>
            </w:rPr>
            <w:t xml:space="preserve">  </w:t>
          </w:r>
          <w:r>
            <w:rPr>
              <w:rFonts w:ascii="宋体" w:hAnsi="宋体" w:eastAsia="宋体" w:cs="宋体"/>
              <w:color w:val="000010"/>
              <w:spacing w:val="7"/>
              <w:position w:val="1"/>
              <w:sz w:val="23"/>
              <w:szCs w:val="23"/>
            </w:rPr>
            <w:t>应急队伍保障</w:t>
          </w:r>
          <w:r>
            <w:rPr>
              <w:rFonts w:ascii="宋体" w:hAnsi="宋体" w:eastAsia="宋体" w:cs="宋体"/>
              <w:color w:val="000010"/>
              <w:spacing w:val="-95"/>
              <w:position w:val="1"/>
              <w:sz w:val="23"/>
              <w:szCs w:val="23"/>
            </w:rPr>
            <w:t xml:space="preserve"> </w:t>
          </w:r>
          <w:r>
            <w:rPr>
              <w:rFonts w:ascii="宋体" w:hAnsi="宋体" w:eastAsia="宋体" w:cs="宋体"/>
              <w:color w:val="000010"/>
              <w:position w:val="1"/>
              <w:sz w:val="23"/>
              <w:szCs w:val="23"/>
            </w:rPr>
            <w:tab/>
          </w:r>
          <w:r>
            <w:rPr>
              <w:rFonts w:ascii="Arial" w:hAnsi="Arial" w:eastAsia="Arial" w:cs="Arial"/>
              <w:color w:val="000010"/>
              <w:spacing w:val="-4"/>
              <w:position w:val="1"/>
              <w:sz w:val="23"/>
              <w:szCs w:val="23"/>
            </w:rPr>
            <w:t>32</w:t>
          </w:r>
          <w:r>
            <w:rPr>
              <w:rFonts w:ascii="Arial" w:hAnsi="Arial" w:eastAsia="Arial" w:cs="Arial"/>
              <w:color w:val="000010"/>
              <w:spacing w:val="-4"/>
              <w:position w:val="1"/>
              <w:sz w:val="23"/>
              <w:szCs w:val="23"/>
            </w:rPr>
            <w:fldChar w:fldCharType="end"/>
          </w:r>
        </w:p>
        <w:p w14:paraId="3F45611D">
          <w:pPr>
            <w:tabs>
              <w:tab w:val="right" w:leader="dot" w:pos="8305"/>
            </w:tabs>
            <w:spacing w:before="156" w:line="314" w:lineRule="exact"/>
            <w:ind w:left="459"/>
            <w:rPr>
              <w:rFonts w:ascii="Arial" w:hAnsi="Arial" w:eastAsia="Arial" w:cs="Arial"/>
              <w:sz w:val="23"/>
              <w:szCs w:val="23"/>
            </w:rPr>
          </w:pPr>
          <w:r>
            <w:fldChar w:fldCharType="begin"/>
          </w:r>
          <w:r>
            <w:instrText xml:space="preserve"> HYPERLINK \l "bookmark54" </w:instrText>
          </w:r>
          <w:r>
            <w:fldChar w:fldCharType="separate"/>
          </w:r>
          <w:r>
            <w:rPr>
              <w:rFonts w:ascii="Times New Roman" w:hAnsi="Times New Roman" w:eastAsia="Times New Roman" w:cs="Times New Roman"/>
              <w:spacing w:val="6"/>
              <w:position w:val="1"/>
              <w:sz w:val="23"/>
              <w:szCs w:val="23"/>
            </w:rPr>
            <w:t>6.3</w:t>
          </w:r>
          <w:r>
            <w:rPr>
              <w:rFonts w:ascii="Times New Roman" w:hAnsi="Times New Roman" w:eastAsia="Times New Roman" w:cs="Times New Roman"/>
              <w:spacing w:val="21"/>
              <w:position w:val="1"/>
              <w:sz w:val="23"/>
              <w:szCs w:val="23"/>
            </w:rPr>
            <w:t xml:space="preserve">  </w:t>
          </w:r>
          <w:r>
            <w:rPr>
              <w:rFonts w:ascii="宋体" w:hAnsi="宋体" w:eastAsia="宋体" w:cs="宋体"/>
              <w:spacing w:val="6"/>
              <w:position w:val="1"/>
              <w:sz w:val="23"/>
              <w:szCs w:val="23"/>
            </w:rPr>
            <w:t>应急资源保障</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2"/>
              <w:position w:val="1"/>
              <w:sz w:val="23"/>
              <w:szCs w:val="23"/>
            </w:rPr>
            <w:t>32</w:t>
          </w:r>
          <w:r>
            <w:rPr>
              <w:rFonts w:ascii="Arial" w:hAnsi="Arial" w:eastAsia="Arial" w:cs="Arial"/>
              <w:spacing w:val="-2"/>
              <w:position w:val="1"/>
              <w:sz w:val="23"/>
              <w:szCs w:val="23"/>
            </w:rPr>
            <w:fldChar w:fldCharType="end"/>
          </w:r>
        </w:p>
        <w:p w14:paraId="06B3B41A">
          <w:pPr>
            <w:tabs>
              <w:tab w:val="right" w:leader="dot" w:pos="8305"/>
            </w:tabs>
            <w:spacing w:before="157" w:line="313" w:lineRule="exact"/>
            <w:ind w:left="459"/>
            <w:rPr>
              <w:rFonts w:ascii="Arial" w:hAnsi="Arial" w:eastAsia="Arial" w:cs="Arial"/>
              <w:sz w:val="23"/>
              <w:szCs w:val="23"/>
            </w:rPr>
          </w:pPr>
          <w:r>
            <w:fldChar w:fldCharType="begin"/>
          </w:r>
          <w:r>
            <w:instrText xml:space="preserve"> HYPERLINK \l "bookmark55" </w:instrText>
          </w:r>
          <w:r>
            <w:fldChar w:fldCharType="separate"/>
          </w:r>
          <w:r>
            <w:rPr>
              <w:rFonts w:ascii="Times New Roman" w:hAnsi="Times New Roman" w:eastAsia="Times New Roman" w:cs="Times New Roman"/>
              <w:spacing w:val="8"/>
              <w:position w:val="1"/>
              <w:sz w:val="23"/>
              <w:szCs w:val="23"/>
            </w:rPr>
            <w:t xml:space="preserve">6.4  </w:t>
          </w:r>
          <w:r>
            <w:rPr>
              <w:rFonts w:ascii="宋体" w:hAnsi="宋体" w:eastAsia="宋体" w:cs="宋体"/>
              <w:spacing w:val="8"/>
              <w:position w:val="1"/>
              <w:sz w:val="23"/>
              <w:szCs w:val="23"/>
            </w:rPr>
            <w:t>经费保障</w:t>
          </w:r>
          <w:r>
            <w:rPr>
              <w:rFonts w:ascii="宋体" w:hAnsi="宋体" w:eastAsia="宋体" w:cs="宋体"/>
              <w:spacing w:val="-91"/>
              <w:position w:val="1"/>
              <w:sz w:val="23"/>
              <w:szCs w:val="23"/>
            </w:rPr>
            <w:t xml:space="preserve"> </w:t>
          </w:r>
          <w:r>
            <w:rPr>
              <w:rFonts w:ascii="宋体" w:hAnsi="宋体" w:eastAsia="宋体" w:cs="宋体"/>
              <w:position w:val="1"/>
              <w:sz w:val="23"/>
              <w:szCs w:val="23"/>
            </w:rPr>
            <w:tab/>
          </w:r>
          <w:r>
            <w:rPr>
              <w:rFonts w:ascii="Arial" w:hAnsi="Arial" w:eastAsia="Arial" w:cs="Arial"/>
              <w:spacing w:val="-4"/>
              <w:position w:val="1"/>
              <w:sz w:val="23"/>
              <w:szCs w:val="23"/>
            </w:rPr>
            <w:t>32</w:t>
          </w:r>
          <w:r>
            <w:rPr>
              <w:rFonts w:ascii="Arial" w:hAnsi="Arial" w:eastAsia="Arial" w:cs="Arial"/>
              <w:spacing w:val="-4"/>
              <w:position w:val="1"/>
              <w:sz w:val="23"/>
              <w:szCs w:val="23"/>
            </w:rPr>
            <w:fldChar w:fldCharType="end"/>
          </w:r>
        </w:p>
        <w:p w14:paraId="3EF4E84B">
          <w:pPr>
            <w:tabs>
              <w:tab w:val="right" w:leader="dot" w:pos="8325"/>
            </w:tabs>
            <w:spacing w:before="157" w:line="313" w:lineRule="exact"/>
            <w:ind w:left="459"/>
            <w:rPr>
              <w:rFonts w:ascii="Arial" w:hAnsi="Arial" w:eastAsia="Arial" w:cs="Arial"/>
              <w:sz w:val="23"/>
              <w:szCs w:val="23"/>
            </w:rPr>
          </w:pPr>
          <w:r>
            <w:fldChar w:fldCharType="begin"/>
          </w:r>
          <w:r>
            <w:instrText xml:space="preserve"> HYPERLINK \l "bookmark56" </w:instrText>
          </w:r>
          <w:r>
            <w:fldChar w:fldCharType="separate"/>
          </w:r>
          <w:r>
            <w:rPr>
              <w:rFonts w:ascii="Times New Roman" w:hAnsi="Times New Roman" w:eastAsia="Times New Roman" w:cs="Times New Roman"/>
              <w:spacing w:val="5"/>
              <w:position w:val="1"/>
              <w:sz w:val="23"/>
              <w:szCs w:val="23"/>
            </w:rPr>
            <w:t>6.5</w:t>
          </w:r>
          <w:r>
            <w:rPr>
              <w:rFonts w:ascii="Times New Roman" w:hAnsi="Times New Roman" w:eastAsia="Times New Roman" w:cs="Times New Roman"/>
              <w:spacing w:val="20"/>
              <w:w w:val="101"/>
              <w:position w:val="1"/>
              <w:sz w:val="23"/>
              <w:szCs w:val="23"/>
            </w:rPr>
            <w:t xml:space="preserve">  </w:t>
          </w:r>
          <w:r>
            <w:rPr>
              <w:rFonts w:ascii="宋体" w:hAnsi="宋体" w:eastAsia="宋体" w:cs="宋体"/>
              <w:color w:val="404040"/>
              <w:spacing w:val="5"/>
              <w:position w:val="1"/>
              <w:sz w:val="23"/>
              <w:szCs w:val="23"/>
            </w:rPr>
            <w:t>其</w:t>
          </w:r>
          <w:r>
            <w:rPr>
              <w:rFonts w:ascii="宋体" w:hAnsi="宋体" w:eastAsia="宋体" w:cs="宋体"/>
              <w:spacing w:val="5"/>
              <w:position w:val="1"/>
              <w:sz w:val="23"/>
              <w:szCs w:val="23"/>
            </w:rPr>
            <w:t>他保障</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3"/>
              <w:position w:val="1"/>
              <w:sz w:val="23"/>
              <w:szCs w:val="23"/>
            </w:rPr>
            <w:t>32</w:t>
          </w:r>
          <w:r>
            <w:rPr>
              <w:rFonts w:ascii="Arial" w:hAnsi="Arial" w:eastAsia="Arial" w:cs="Arial"/>
              <w:spacing w:val="3"/>
              <w:position w:val="1"/>
              <w:sz w:val="23"/>
              <w:szCs w:val="23"/>
            </w:rPr>
            <w:fldChar w:fldCharType="end"/>
          </w:r>
        </w:p>
        <w:p w14:paraId="1A5314BD">
          <w:pPr>
            <w:tabs>
              <w:tab w:val="right" w:leader="dot" w:pos="8325"/>
            </w:tabs>
            <w:spacing w:before="147" w:line="313" w:lineRule="exact"/>
            <w:ind w:left="940"/>
            <w:rPr>
              <w:rFonts w:ascii="Arial" w:hAnsi="Arial" w:eastAsia="Arial" w:cs="Arial"/>
              <w:sz w:val="23"/>
              <w:szCs w:val="23"/>
            </w:rPr>
          </w:pPr>
          <w:r>
            <w:fldChar w:fldCharType="begin"/>
          </w:r>
          <w:r>
            <w:instrText xml:space="preserve"> HYPERLINK \l "bookmark57" </w:instrText>
          </w:r>
          <w:r>
            <w:fldChar w:fldCharType="separate"/>
          </w:r>
          <w:r>
            <w:rPr>
              <w:rFonts w:ascii="Times New Roman" w:hAnsi="Times New Roman" w:eastAsia="Times New Roman" w:cs="Times New Roman"/>
              <w:color w:val="101010"/>
              <w:spacing w:val="6"/>
              <w:position w:val="1"/>
              <w:sz w:val="23"/>
              <w:szCs w:val="23"/>
            </w:rPr>
            <w:t>6.5.1</w:t>
          </w:r>
          <w:r>
            <w:rPr>
              <w:rFonts w:ascii="Times New Roman" w:hAnsi="Times New Roman" w:eastAsia="Times New Roman" w:cs="Times New Roman"/>
              <w:color w:val="101010"/>
              <w:spacing w:val="16"/>
              <w:w w:val="101"/>
              <w:position w:val="1"/>
              <w:sz w:val="23"/>
              <w:szCs w:val="23"/>
            </w:rPr>
            <w:t xml:space="preserve">   </w:t>
          </w:r>
          <w:r>
            <w:rPr>
              <w:rFonts w:ascii="宋体" w:hAnsi="宋体" w:eastAsia="宋体" w:cs="宋体"/>
              <w:color w:val="101010"/>
              <w:spacing w:val="6"/>
              <w:position w:val="1"/>
              <w:sz w:val="23"/>
              <w:szCs w:val="23"/>
            </w:rPr>
            <w:t>医疗卫生保障</w:t>
          </w:r>
          <w:r>
            <w:rPr>
              <w:rFonts w:ascii="宋体" w:hAnsi="宋体" w:eastAsia="宋体" w:cs="宋体"/>
              <w:color w:val="101010"/>
              <w:spacing w:val="-95"/>
              <w:position w:val="1"/>
              <w:sz w:val="23"/>
              <w:szCs w:val="23"/>
            </w:rPr>
            <w:t xml:space="preserve"> </w:t>
          </w:r>
          <w:r>
            <w:rPr>
              <w:rFonts w:ascii="宋体" w:hAnsi="宋体" w:eastAsia="宋体" w:cs="宋体"/>
              <w:color w:val="101010"/>
              <w:position w:val="1"/>
              <w:sz w:val="23"/>
              <w:szCs w:val="23"/>
            </w:rPr>
            <w:tab/>
          </w:r>
          <w:r>
            <w:rPr>
              <w:rFonts w:ascii="Arial" w:hAnsi="Arial" w:eastAsia="Arial" w:cs="Arial"/>
              <w:color w:val="101010"/>
              <w:spacing w:val="-2"/>
              <w:position w:val="1"/>
              <w:sz w:val="23"/>
              <w:szCs w:val="23"/>
            </w:rPr>
            <w:t>32</w:t>
          </w:r>
          <w:r>
            <w:rPr>
              <w:rFonts w:ascii="Arial" w:hAnsi="Arial" w:eastAsia="Arial" w:cs="Arial"/>
              <w:color w:val="101010"/>
              <w:spacing w:val="-2"/>
              <w:position w:val="1"/>
              <w:sz w:val="23"/>
              <w:szCs w:val="23"/>
            </w:rPr>
            <w:fldChar w:fldCharType="end"/>
          </w:r>
        </w:p>
        <w:p w14:paraId="3DF3C6BF">
          <w:pPr>
            <w:tabs>
              <w:tab w:val="right" w:leader="dot" w:pos="8305"/>
            </w:tabs>
            <w:spacing w:before="156" w:line="314" w:lineRule="exact"/>
            <w:ind w:left="940"/>
            <w:rPr>
              <w:rFonts w:ascii="Arial" w:hAnsi="Arial" w:eastAsia="Arial" w:cs="Arial"/>
              <w:sz w:val="23"/>
              <w:szCs w:val="23"/>
            </w:rPr>
          </w:pPr>
          <w:r>
            <w:fldChar w:fldCharType="begin"/>
          </w:r>
          <w:r>
            <w:instrText xml:space="preserve"> HYPERLINK \l "bookmark58" </w:instrText>
          </w:r>
          <w:r>
            <w:fldChar w:fldCharType="separate"/>
          </w:r>
          <w:r>
            <w:rPr>
              <w:rFonts w:ascii="Times New Roman" w:hAnsi="Times New Roman" w:eastAsia="Times New Roman" w:cs="Times New Roman"/>
              <w:color w:val="000010"/>
              <w:spacing w:val="8"/>
              <w:position w:val="1"/>
              <w:sz w:val="23"/>
              <w:szCs w:val="23"/>
            </w:rPr>
            <w:t>6.5.2</w:t>
          </w:r>
          <w:r>
            <w:rPr>
              <w:rFonts w:ascii="Times New Roman" w:hAnsi="Times New Roman" w:eastAsia="Times New Roman" w:cs="Times New Roman"/>
              <w:color w:val="000010"/>
              <w:spacing w:val="9"/>
              <w:position w:val="1"/>
              <w:sz w:val="23"/>
              <w:szCs w:val="23"/>
            </w:rPr>
            <w:t xml:space="preserve">   </w:t>
          </w:r>
          <w:r>
            <w:rPr>
              <w:rFonts w:ascii="宋体" w:hAnsi="宋体" w:eastAsia="宋体" w:cs="宋体"/>
              <w:color w:val="000010"/>
              <w:spacing w:val="8"/>
              <w:position w:val="1"/>
              <w:sz w:val="23"/>
              <w:szCs w:val="23"/>
            </w:rPr>
            <w:t>交通运输保障</w:t>
          </w:r>
          <w:r>
            <w:rPr>
              <w:rFonts w:ascii="宋体" w:hAnsi="宋体" w:eastAsia="宋体" w:cs="宋体"/>
              <w:color w:val="000010"/>
              <w:spacing w:val="-94"/>
              <w:position w:val="1"/>
              <w:sz w:val="23"/>
              <w:szCs w:val="23"/>
            </w:rPr>
            <w:t xml:space="preserve"> </w:t>
          </w:r>
          <w:r>
            <w:rPr>
              <w:rFonts w:ascii="宋体" w:hAnsi="宋体" w:eastAsia="宋体" w:cs="宋体"/>
              <w:color w:val="000010"/>
              <w:position w:val="1"/>
              <w:sz w:val="23"/>
              <w:szCs w:val="23"/>
            </w:rPr>
            <w:tab/>
          </w:r>
          <w:r>
            <w:rPr>
              <w:rFonts w:ascii="Arial" w:hAnsi="Arial" w:eastAsia="Arial" w:cs="Arial"/>
              <w:color w:val="000010"/>
              <w:spacing w:val="-2"/>
              <w:position w:val="1"/>
              <w:sz w:val="23"/>
              <w:szCs w:val="23"/>
            </w:rPr>
            <w:t>33</w:t>
          </w:r>
          <w:r>
            <w:rPr>
              <w:rFonts w:ascii="Arial" w:hAnsi="Arial" w:eastAsia="Arial" w:cs="Arial"/>
              <w:color w:val="000010"/>
              <w:spacing w:val="-2"/>
              <w:position w:val="1"/>
              <w:sz w:val="23"/>
              <w:szCs w:val="23"/>
            </w:rPr>
            <w:fldChar w:fldCharType="end"/>
          </w:r>
        </w:p>
      </w:sdtContent>
    </w:sdt>
    <w:p w14:paraId="4A4A34C6">
      <w:pPr>
        <w:spacing w:line="314" w:lineRule="exact"/>
        <w:rPr>
          <w:rFonts w:ascii="Arial" w:hAnsi="Arial" w:eastAsia="Arial" w:cs="Arial"/>
          <w:sz w:val="23"/>
          <w:szCs w:val="23"/>
        </w:rPr>
        <w:sectPr>
          <w:pgSz w:w="11910" w:h="16850"/>
          <w:pgMar w:top="1355" w:right="1786" w:bottom="0" w:left="1579" w:header="0" w:footer="0" w:gutter="0"/>
          <w:cols w:space="720" w:num="1"/>
        </w:sectPr>
      </w:pPr>
    </w:p>
    <w:sdt>
      <w:sdtPr>
        <w:rPr>
          <w:rFonts w:ascii="Times New Roman" w:hAnsi="Times New Roman" w:eastAsia="Times New Roman" w:cs="Times New Roman"/>
          <w:sz w:val="23"/>
          <w:szCs w:val="23"/>
        </w:rPr>
        <w:id w:val="147474109"/>
        <w:docPartObj>
          <w:docPartGallery w:val="Table of Contents"/>
          <w:docPartUnique/>
        </w:docPartObj>
      </w:sdtPr>
      <w:sdtEndPr>
        <w:rPr>
          <w:rFonts w:ascii="Arial" w:hAnsi="Arial" w:eastAsia="Arial" w:cs="Arial"/>
          <w:sz w:val="23"/>
          <w:szCs w:val="23"/>
        </w:rPr>
      </w:sdtEndPr>
      <w:sdtContent>
        <w:p w14:paraId="35CB469C">
          <w:pPr>
            <w:tabs>
              <w:tab w:val="right" w:leader="dot" w:pos="8315"/>
            </w:tabs>
            <w:spacing w:before="146" w:line="313" w:lineRule="exact"/>
            <w:ind w:left="949"/>
            <w:rPr>
              <w:rFonts w:ascii="Arial" w:hAnsi="Arial" w:eastAsia="Arial" w:cs="Arial"/>
              <w:sz w:val="23"/>
              <w:szCs w:val="23"/>
            </w:rPr>
          </w:pPr>
          <w:bookmarkStart w:id="1" w:name="bookmark59"/>
          <w:bookmarkEnd w:id="1"/>
          <w:r>
            <w:fldChar w:fldCharType="begin"/>
          </w:r>
          <w:r>
            <w:instrText xml:space="preserve"> HYPERLINK \l "bookmark60" </w:instrText>
          </w:r>
          <w:r>
            <w:fldChar w:fldCharType="separate"/>
          </w:r>
          <w:r>
            <w:rPr>
              <w:rFonts w:ascii="Times New Roman" w:hAnsi="Times New Roman" w:eastAsia="Times New Roman" w:cs="Times New Roman"/>
              <w:spacing w:val="8"/>
              <w:position w:val="1"/>
              <w:sz w:val="23"/>
              <w:szCs w:val="23"/>
            </w:rPr>
            <w:t>6.5.3</w:t>
          </w:r>
          <w:r>
            <w:rPr>
              <w:rFonts w:ascii="Times New Roman" w:hAnsi="Times New Roman" w:eastAsia="Times New Roman" w:cs="Times New Roman"/>
              <w:spacing w:val="10"/>
              <w:position w:val="1"/>
              <w:sz w:val="23"/>
              <w:szCs w:val="23"/>
            </w:rPr>
            <w:t xml:space="preserve">   </w:t>
          </w:r>
          <w:r>
            <w:rPr>
              <w:rFonts w:ascii="宋体" w:hAnsi="宋体" w:eastAsia="宋体" w:cs="宋体"/>
              <w:spacing w:val="8"/>
              <w:position w:val="1"/>
              <w:sz w:val="23"/>
              <w:szCs w:val="23"/>
            </w:rPr>
            <w:t>治安维护</w:t>
          </w:r>
          <w:r>
            <w:rPr>
              <w:rFonts w:ascii="宋体" w:hAnsi="宋体" w:eastAsia="宋体" w:cs="宋体"/>
              <w:spacing w:val="-101"/>
              <w:position w:val="1"/>
              <w:sz w:val="23"/>
              <w:szCs w:val="23"/>
            </w:rPr>
            <w:t xml:space="preserve"> </w:t>
          </w:r>
          <w:r>
            <w:rPr>
              <w:rFonts w:ascii="宋体" w:hAnsi="宋体" w:eastAsia="宋体" w:cs="宋体"/>
              <w:color w:val="206060"/>
              <w:position w:val="1"/>
              <w:sz w:val="23"/>
              <w:szCs w:val="23"/>
            </w:rPr>
            <w:tab/>
          </w:r>
          <w:r>
            <w:rPr>
              <w:rFonts w:ascii="Arial" w:hAnsi="Arial" w:eastAsia="Arial" w:cs="Arial"/>
              <w:spacing w:val="-2"/>
              <w:position w:val="1"/>
              <w:sz w:val="23"/>
              <w:szCs w:val="23"/>
            </w:rPr>
            <w:t>33</w:t>
          </w:r>
          <w:r>
            <w:rPr>
              <w:rFonts w:ascii="Arial" w:hAnsi="Arial" w:eastAsia="Arial" w:cs="Arial"/>
              <w:spacing w:val="-2"/>
              <w:position w:val="1"/>
              <w:sz w:val="23"/>
              <w:szCs w:val="23"/>
            </w:rPr>
            <w:fldChar w:fldCharType="end"/>
          </w:r>
        </w:p>
        <w:p w14:paraId="7F1035E7">
          <w:pPr>
            <w:tabs>
              <w:tab w:val="right" w:leader="dot" w:pos="8315"/>
            </w:tabs>
            <w:spacing w:before="155" w:line="314" w:lineRule="exact"/>
            <w:ind w:left="949"/>
            <w:rPr>
              <w:rFonts w:ascii="Arial" w:hAnsi="Arial" w:eastAsia="Arial" w:cs="Arial"/>
              <w:sz w:val="23"/>
              <w:szCs w:val="23"/>
            </w:rPr>
          </w:pPr>
          <w:r>
            <w:fldChar w:fldCharType="begin"/>
          </w:r>
          <w:r>
            <w:instrText xml:space="preserve"> HYPERLINK \l "bookmark61" </w:instrText>
          </w:r>
          <w:r>
            <w:fldChar w:fldCharType="separate"/>
          </w:r>
          <w:r>
            <w:rPr>
              <w:rFonts w:ascii="Times New Roman" w:hAnsi="Times New Roman" w:eastAsia="Times New Roman" w:cs="Times New Roman"/>
              <w:color w:val="606060"/>
              <w:spacing w:val="7"/>
              <w:position w:val="1"/>
              <w:sz w:val="23"/>
              <w:szCs w:val="23"/>
            </w:rPr>
            <w:t>6.5.4</w:t>
          </w:r>
          <w:r>
            <w:rPr>
              <w:rFonts w:ascii="Times New Roman" w:hAnsi="Times New Roman" w:eastAsia="Times New Roman" w:cs="Times New Roman"/>
              <w:color w:val="606060"/>
              <w:spacing w:val="9"/>
              <w:position w:val="1"/>
              <w:sz w:val="23"/>
              <w:szCs w:val="23"/>
            </w:rPr>
            <w:t xml:space="preserve">   </w:t>
          </w:r>
          <w:r>
            <w:rPr>
              <w:rFonts w:ascii="宋体" w:hAnsi="宋体" w:eastAsia="宋体" w:cs="宋体"/>
              <w:color w:val="606060"/>
              <w:spacing w:val="7"/>
              <w:position w:val="1"/>
              <w:sz w:val="23"/>
              <w:szCs w:val="23"/>
            </w:rPr>
            <w:t>人员防护保障</w:t>
          </w:r>
          <w:r>
            <w:rPr>
              <w:rFonts w:ascii="宋体" w:hAnsi="宋体" w:eastAsia="宋体" w:cs="宋体"/>
              <w:color w:val="606060"/>
              <w:spacing w:val="-93"/>
              <w:position w:val="1"/>
              <w:sz w:val="23"/>
              <w:szCs w:val="23"/>
            </w:rPr>
            <w:t xml:space="preserve"> </w:t>
          </w:r>
          <w:r>
            <w:rPr>
              <w:rFonts w:ascii="宋体" w:hAnsi="宋体" w:eastAsia="宋体" w:cs="宋体"/>
              <w:position w:val="1"/>
              <w:sz w:val="23"/>
              <w:szCs w:val="23"/>
            </w:rPr>
            <w:tab/>
          </w:r>
          <w:r>
            <w:rPr>
              <w:rFonts w:ascii="Arial" w:hAnsi="Arial" w:eastAsia="Arial" w:cs="Arial"/>
              <w:color w:val="606060"/>
              <w:spacing w:val="-2"/>
              <w:position w:val="1"/>
              <w:sz w:val="23"/>
              <w:szCs w:val="23"/>
            </w:rPr>
            <w:t>33</w:t>
          </w:r>
          <w:r>
            <w:rPr>
              <w:rFonts w:ascii="Arial" w:hAnsi="Arial" w:eastAsia="Arial" w:cs="Arial"/>
              <w:color w:val="606060"/>
              <w:spacing w:val="-2"/>
              <w:position w:val="1"/>
              <w:sz w:val="23"/>
              <w:szCs w:val="23"/>
            </w:rPr>
            <w:fldChar w:fldCharType="end"/>
          </w:r>
        </w:p>
        <w:p w14:paraId="54BBD54D">
          <w:pPr>
            <w:tabs>
              <w:tab w:val="right" w:leader="dot" w:pos="8305"/>
            </w:tabs>
            <w:spacing w:before="146" w:line="314" w:lineRule="exact"/>
            <w:ind w:left="949"/>
            <w:rPr>
              <w:rFonts w:ascii="Arial" w:hAnsi="Arial" w:eastAsia="Arial" w:cs="Arial"/>
              <w:sz w:val="23"/>
              <w:szCs w:val="23"/>
            </w:rPr>
          </w:pPr>
          <w:r>
            <w:fldChar w:fldCharType="begin"/>
          </w:r>
          <w:r>
            <w:instrText xml:space="preserve"> HYPERLINK \l "bookmark62" </w:instrText>
          </w:r>
          <w:r>
            <w:fldChar w:fldCharType="separate"/>
          </w:r>
          <w:r>
            <w:rPr>
              <w:rFonts w:ascii="Times New Roman" w:hAnsi="Times New Roman" w:eastAsia="Times New Roman" w:cs="Times New Roman"/>
              <w:color w:val="505050"/>
              <w:spacing w:val="7"/>
              <w:position w:val="1"/>
              <w:sz w:val="23"/>
              <w:szCs w:val="23"/>
            </w:rPr>
            <w:t>6.5.5</w:t>
          </w:r>
          <w:r>
            <w:rPr>
              <w:rFonts w:ascii="Times New Roman" w:hAnsi="Times New Roman" w:eastAsia="Times New Roman" w:cs="Times New Roman"/>
              <w:color w:val="505050"/>
              <w:spacing w:val="9"/>
              <w:position w:val="1"/>
              <w:sz w:val="23"/>
              <w:szCs w:val="23"/>
            </w:rPr>
            <w:t xml:space="preserve">   </w:t>
          </w:r>
          <w:r>
            <w:rPr>
              <w:rFonts w:ascii="宋体" w:hAnsi="宋体" w:eastAsia="宋体" w:cs="宋体"/>
              <w:color w:val="505050"/>
              <w:spacing w:val="7"/>
              <w:position w:val="1"/>
              <w:sz w:val="23"/>
              <w:szCs w:val="23"/>
            </w:rPr>
            <w:t>技术装备保障</w:t>
          </w:r>
          <w:r>
            <w:rPr>
              <w:rFonts w:ascii="宋体" w:hAnsi="宋体" w:eastAsia="宋体" w:cs="宋体"/>
              <w:color w:val="505050"/>
              <w:spacing w:val="-93"/>
              <w:position w:val="1"/>
              <w:sz w:val="23"/>
              <w:szCs w:val="23"/>
            </w:rPr>
            <w:t xml:space="preserve"> </w:t>
          </w:r>
          <w:r>
            <w:rPr>
              <w:rFonts w:ascii="宋体" w:hAnsi="宋体" w:eastAsia="宋体" w:cs="宋体"/>
              <w:color w:val="505050"/>
              <w:position w:val="1"/>
              <w:sz w:val="23"/>
              <w:szCs w:val="23"/>
            </w:rPr>
            <w:tab/>
          </w:r>
          <w:r>
            <w:rPr>
              <w:rFonts w:ascii="Arial" w:hAnsi="Arial" w:eastAsia="Arial" w:cs="Arial"/>
              <w:color w:val="505050"/>
              <w:spacing w:val="-2"/>
              <w:position w:val="1"/>
              <w:sz w:val="23"/>
              <w:szCs w:val="23"/>
            </w:rPr>
            <w:t>33</w:t>
          </w:r>
          <w:r>
            <w:rPr>
              <w:rFonts w:ascii="Arial" w:hAnsi="Arial" w:eastAsia="Arial" w:cs="Arial"/>
              <w:color w:val="505050"/>
              <w:spacing w:val="-2"/>
              <w:position w:val="1"/>
              <w:sz w:val="23"/>
              <w:szCs w:val="23"/>
            </w:rPr>
            <w:fldChar w:fldCharType="end"/>
          </w:r>
        </w:p>
        <w:p w14:paraId="6D02E7AD">
          <w:pPr>
            <w:tabs>
              <w:tab w:val="right" w:leader="dot" w:pos="8315"/>
            </w:tabs>
            <w:spacing w:before="155" w:line="314" w:lineRule="exact"/>
            <w:ind w:left="949"/>
            <w:rPr>
              <w:rFonts w:ascii="Arial" w:hAnsi="Arial" w:eastAsia="Arial" w:cs="Arial"/>
              <w:sz w:val="23"/>
              <w:szCs w:val="23"/>
            </w:rPr>
          </w:pPr>
          <w:r>
            <w:fldChar w:fldCharType="begin"/>
          </w:r>
          <w:r>
            <w:instrText xml:space="preserve"> HYPERLINK \l "bookmark63" </w:instrText>
          </w:r>
          <w:r>
            <w:fldChar w:fldCharType="separate"/>
          </w:r>
          <w:r>
            <w:rPr>
              <w:rFonts w:ascii="Times New Roman" w:hAnsi="Times New Roman" w:eastAsia="Times New Roman" w:cs="Times New Roman"/>
              <w:color w:val="405050"/>
              <w:spacing w:val="6"/>
              <w:position w:val="1"/>
              <w:sz w:val="23"/>
              <w:szCs w:val="23"/>
            </w:rPr>
            <w:t>6.5.6</w:t>
          </w:r>
          <w:r>
            <w:rPr>
              <w:rFonts w:ascii="Times New Roman" w:hAnsi="Times New Roman" w:eastAsia="Times New Roman" w:cs="Times New Roman"/>
              <w:color w:val="405050"/>
              <w:spacing w:val="13"/>
              <w:position w:val="1"/>
              <w:sz w:val="23"/>
              <w:szCs w:val="23"/>
            </w:rPr>
            <w:t xml:space="preserve">   </w:t>
          </w:r>
          <w:r>
            <w:rPr>
              <w:rFonts w:ascii="宋体" w:hAnsi="宋体" w:eastAsia="宋体" w:cs="宋体"/>
              <w:color w:val="405050"/>
              <w:spacing w:val="6"/>
              <w:position w:val="1"/>
              <w:sz w:val="23"/>
              <w:szCs w:val="23"/>
            </w:rPr>
            <w:t>社会动员保障</w:t>
          </w:r>
          <w:r>
            <w:rPr>
              <w:rFonts w:ascii="宋体" w:hAnsi="宋体" w:eastAsia="宋体" w:cs="宋体"/>
              <w:color w:val="405050"/>
              <w:spacing w:val="-94"/>
              <w:position w:val="1"/>
              <w:sz w:val="23"/>
              <w:szCs w:val="23"/>
            </w:rPr>
            <w:t xml:space="preserve"> </w:t>
          </w:r>
          <w:r>
            <w:rPr>
              <w:rFonts w:ascii="宋体" w:hAnsi="宋体" w:eastAsia="宋体" w:cs="宋体"/>
              <w:color w:val="405050"/>
              <w:position w:val="1"/>
              <w:sz w:val="23"/>
              <w:szCs w:val="23"/>
            </w:rPr>
            <w:tab/>
          </w:r>
          <w:r>
            <w:rPr>
              <w:rFonts w:ascii="Arial" w:hAnsi="Arial" w:eastAsia="Arial" w:cs="Arial"/>
              <w:color w:val="405050"/>
              <w:spacing w:val="-2"/>
              <w:position w:val="1"/>
              <w:sz w:val="23"/>
              <w:szCs w:val="23"/>
            </w:rPr>
            <w:t>33</w:t>
          </w:r>
          <w:r>
            <w:rPr>
              <w:rFonts w:ascii="Arial" w:hAnsi="Arial" w:eastAsia="Arial" w:cs="Arial"/>
              <w:color w:val="405050"/>
              <w:spacing w:val="-2"/>
              <w:position w:val="1"/>
              <w:sz w:val="23"/>
              <w:szCs w:val="23"/>
            </w:rPr>
            <w:fldChar w:fldCharType="end"/>
          </w:r>
        </w:p>
        <w:p w14:paraId="628F0437">
          <w:pPr>
            <w:tabs>
              <w:tab w:val="right" w:leader="dot" w:pos="8305"/>
            </w:tabs>
            <w:spacing w:before="156" w:line="314" w:lineRule="exact"/>
            <w:rPr>
              <w:rFonts w:ascii="Arial" w:hAnsi="Arial" w:eastAsia="Arial" w:cs="Arial"/>
              <w:sz w:val="23"/>
              <w:szCs w:val="23"/>
            </w:rPr>
          </w:pPr>
          <w:r>
            <w:fldChar w:fldCharType="begin"/>
          </w:r>
          <w:r>
            <w:instrText xml:space="preserve"> HYPERLINK \l "bookmark64" </w:instrText>
          </w:r>
          <w:r>
            <w:fldChar w:fldCharType="separate"/>
          </w:r>
          <w:r>
            <w:rPr>
              <w:rFonts w:ascii="Times New Roman" w:hAnsi="Times New Roman" w:eastAsia="Times New Roman" w:cs="Times New Roman"/>
              <w:spacing w:val="-17"/>
              <w:position w:val="1"/>
              <w:sz w:val="23"/>
              <w:szCs w:val="23"/>
            </w:rPr>
            <w:t>7</w:t>
          </w:r>
          <w:r>
            <w:rPr>
              <w:rFonts w:ascii="Times New Roman" w:hAnsi="Times New Roman" w:eastAsia="Times New Roman" w:cs="Times New Roman"/>
              <w:spacing w:val="16"/>
              <w:w w:val="101"/>
              <w:position w:val="1"/>
              <w:sz w:val="23"/>
              <w:szCs w:val="23"/>
            </w:rPr>
            <w:t xml:space="preserve"> </w:t>
          </w:r>
          <w:r>
            <w:rPr>
              <w:rFonts w:ascii="宋体" w:hAnsi="宋体" w:eastAsia="宋体" w:cs="宋体"/>
              <w:spacing w:val="-17"/>
              <w:position w:val="1"/>
              <w:sz w:val="23"/>
              <w:szCs w:val="23"/>
            </w:rPr>
            <w:t>附</w:t>
          </w:r>
          <w:r>
            <w:rPr>
              <w:rFonts w:ascii="宋体" w:hAnsi="宋体" w:eastAsia="宋体" w:cs="宋体"/>
              <w:spacing w:val="-44"/>
              <w:position w:val="1"/>
              <w:sz w:val="23"/>
              <w:szCs w:val="23"/>
            </w:rPr>
            <w:t xml:space="preserve"> </w:t>
          </w:r>
          <w:r>
            <w:rPr>
              <w:rFonts w:ascii="宋体" w:hAnsi="宋体" w:eastAsia="宋体" w:cs="宋体"/>
              <w:spacing w:val="-17"/>
              <w:position w:val="1"/>
              <w:sz w:val="23"/>
              <w:szCs w:val="23"/>
            </w:rPr>
            <w:t>则</w:t>
          </w:r>
          <w:r>
            <w:rPr>
              <w:rFonts w:ascii="宋体" w:hAnsi="宋体" w:eastAsia="宋体" w:cs="宋体"/>
              <w:spacing w:val="-106"/>
              <w:position w:val="1"/>
              <w:sz w:val="23"/>
              <w:szCs w:val="23"/>
            </w:rPr>
            <w:t xml:space="preserve"> </w:t>
          </w:r>
          <w:r>
            <w:rPr>
              <w:rFonts w:ascii="宋体" w:hAnsi="宋体" w:eastAsia="宋体" w:cs="宋体"/>
              <w:position w:val="1"/>
              <w:sz w:val="23"/>
              <w:szCs w:val="23"/>
            </w:rPr>
            <w:tab/>
          </w:r>
          <w:r>
            <w:rPr>
              <w:rFonts w:ascii="Arial" w:hAnsi="Arial" w:eastAsia="Arial" w:cs="Arial"/>
              <w:spacing w:val="18"/>
              <w:position w:val="1"/>
              <w:sz w:val="23"/>
              <w:szCs w:val="23"/>
            </w:rPr>
            <w:t>34</w:t>
          </w:r>
          <w:r>
            <w:rPr>
              <w:rFonts w:ascii="Arial" w:hAnsi="Arial" w:eastAsia="Arial" w:cs="Arial"/>
              <w:spacing w:val="18"/>
              <w:position w:val="1"/>
              <w:sz w:val="23"/>
              <w:szCs w:val="23"/>
            </w:rPr>
            <w:fldChar w:fldCharType="end"/>
          </w:r>
        </w:p>
        <w:p w14:paraId="38F1A840">
          <w:pPr>
            <w:tabs>
              <w:tab w:val="right" w:leader="dot" w:pos="8305"/>
            </w:tabs>
            <w:spacing w:before="167" w:line="313" w:lineRule="exact"/>
            <w:ind w:left="479"/>
            <w:rPr>
              <w:rFonts w:ascii="Arial" w:hAnsi="Arial" w:eastAsia="Arial" w:cs="Arial"/>
              <w:sz w:val="23"/>
              <w:szCs w:val="23"/>
            </w:rPr>
          </w:pPr>
          <w:r>
            <w:fldChar w:fldCharType="begin"/>
          </w:r>
          <w:r>
            <w:instrText xml:space="preserve"> HYPERLINK \l "bookmark65" </w:instrText>
          </w:r>
          <w:r>
            <w:fldChar w:fldCharType="separate"/>
          </w:r>
          <w:r>
            <w:rPr>
              <w:rFonts w:ascii="Times New Roman" w:hAnsi="Times New Roman" w:eastAsia="Times New Roman" w:cs="Times New Roman"/>
              <w:spacing w:val="11"/>
              <w:position w:val="1"/>
              <w:sz w:val="23"/>
              <w:szCs w:val="23"/>
            </w:rPr>
            <w:t>7.1</w:t>
          </w:r>
          <w:r>
            <w:rPr>
              <w:rFonts w:ascii="Times New Roman" w:hAnsi="Times New Roman" w:eastAsia="Times New Roman" w:cs="Times New Roman"/>
              <w:spacing w:val="56"/>
              <w:w w:val="101"/>
              <w:position w:val="1"/>
              <w:sz w:val="23"/>
              <w:szCs w:val="23"/>
            </w:rPr>
            <w:t xml:space="preserve"> </w:t>
          </w:r>
          <w:r>
            <w:rPr>
              <w:rFonts w:ascii="宋体" w:hAnsi="宋体" w:eastAsia="宋体" w:cs="宋体"/>
              <w:spacing w:val="11"/>
              <w:position w:val="1"/>
              <w:sz w:val="23"/>
              <w:szCs w:val="23"/>
            </w:rPr>
            <w:t>名词术语</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2"/>
              <w:position w:val="1"/>
              <w:sz w:val="23"/>
              <w:szCs w:val="23"/>
            </w:rPr>
            <w:t>34</w:t>
          </w:r>
          <w:r>
            <w:rPr>
              <w:rFonts w:ascii="Arial" w:hAnsi="Arial" w:eastAsia="Arial" w:cs="Arial"/>
              <w:spacing w:val="-2"/>
              <w:position w:val="1"/>
              <w:sz w:val="23"/>
              <w:szCs w:val="23"/>
            </w:rPr>
            <w:fldChar w:fldCharType="end"/>
          </w:r>
        </w:p>
        <w:p w14:paraId="0A1FDFDC">
          <w:pPr>
            <w:tabs>
              <w:tab w:val="right" w:leader="dot" w:pos="8305"/>
            </w:tabs>
            <w:spacing w:before="156" w:line="314" w:lineRule="exact"/>
            <w:ind w:left="479"/>
            <w:rPr>
              <w:rFonts w:ascii="Arial" w:hAnsi="Arial" w:eastAsia="Arial" w:cs="Arial"/>
              <w:sz w:val="23"/>
              <w:szCs w:val="23"/>
            </w:rPr>
          </w:pPr>
          <w:r>
            <w:fldChar w:fldCharType="begin"/>
          </w:r>
          <w:r>
            <w:instrText xml:space="preserve"> HYPERLINK \l "bookmark66" </w:instrText>
          </w:r>
          <w:r>
            <w:fldChar w:fldCharType="separate"/>
          </w:r>
          <w:r>
            <w:rPr>
              <w:rFonts w:ascii="Times New Roman" w:hAnsi="Times New Roman" w:eastAsia="Times New Roman" w:cs="Times New Roman"/>
              <w:spacing w:val="11"/>
              <w:position w:val="1"/>
              <w:sz w:val="23"/>
              <w:szCs w:val="23"/>
            </w:rPr>
            <w:t>7.2</w:t>
          </w:r>
          <w:r>
            <w:rPr>
              <w:rFonts w:ascii="Times New Roman" w:hAnsi="Times New Roman" w:eastAsia="Times New Roman" w:cs="Times New Roman"/>
              <w:spacing w:val="3"/>
              <w:position w:val="1"/>
              <w:sz w:val="23"/>
              <w:szCs w:val="23"/>
            </w:rPr>
            <w:t xml:space="preserve">  </w:t>
          </w:r>
          <w:r>
            <w:rPr>
              <w:rFonts w:ascii="宋体" w:hAnsi="宋体" w:eastAsia="宋体" w:cs="宋体"/>
              <w:spacing w:val="11"/>
              <w:position w:val="1"/>
              <w:sz w:val="23"/>
              <w:szCs w:val="23"/>
            </w:rPr>
            <w:t>预案解释权属</w:t>
          </w:r>
          <w:r>
            <w:rPr>
              <w:rFonts w:ascii="宋体" w:hAnsi="宋体" w:eastAsia="宋体" w:cs="宋体"/>
              <w:spacing w:val="-104"/>
              <w:position w:val="1"/>
              <w:sz w:val="23"/>
              <w:szCs w:val="23"/>
            </w:rPr>
            <w:t xml:space="preserve"> </w:t>
          </w:r>
          <w:r>
            <w:rPr>
              <w:rFonts w:ascii="宋体" w:hAnsi="宋体" w:eastAsia="宋体" w:cs="宋体"/>
              <w:position w:val="1"/>
              <w:sz w:val="23"/>
              <w:szCs w:val="23"/>
            </w:rPr>
            <w:tab/>
          </w:r>
          <w:r>
            <w:rPr>
              <w:rFonts w:ascii="Arial" w:hAnsi="Arial" w:eastAsia="Arial" w:cs="Arial"/>
              <w:spacing w:val="-2"/>
              <w:position w:val="1"/>
              <w:sz w:val="23"/>
              <w:szCs w:val="23"/>
            </w:rPr>
            <w:t>34</w:t>
          </w:r>
          <w:r>
            <w:rPr>
              <w:rFonts w:ascii="Arial" w:hAnsi="Arial" w:eastAsia="Arial" w:cs="Arial"/>
              <w:spacing w:val="-2"/>
              <w:position w:val="1"/>
              <w:sz w:val="23"/>
              <w:szCs w:val="23"/>
            </w:rPr>
            <w:fldChar w:fldCharType="end"/>
          </w:r>
        </w:p>
        <w:p w14:paraId="1B1FB2FB">
          <w:pPr>
            <w:tabs>
              <w:tab w:val="right" w:leader="dot" w:pos="8295"/>
            </w:tabs>
            <w:spacing w:before="146" w:line="314" w:lineRule="exact"/>
            <w:ind w:left="479"/>
            <w:rPr>
              <w:rFonts w:ascii="Arial" w:hAnsi="Arial" w:eastAsia="Arial" w:cs="Arial"/>
              <w:sz w:val="23"/>
              <w:szCs w:val="23"/>
            </w:rPr>
          </w:pPr>
          <w:r>
            <w:fldChar w:fldCharType="begin"/>
          </w:r>
          <w:r>
            <w:instrText xml:space="preserve"> HYPERLINK \l "bookmark67" </w:instrText>
          </w:r>
          <w:r>
            <w:fldChar w:fldCharType="separate"/>
          </w:r>
          <w:r>
            <w:rPr>
              <w:rFonts w:ascii="Times New Roman" w:hAnsi="Times New Roman" w:eastAsia="Times New Roman" w:cs="Times New Roman"/>
              <w:spacing w:val="10"/>
              <w:position w:val="1"/>
              <w:sz w:val="23"/>
              <w:szCs w:val="23"/>
            </w:rPr>
            <w:t>7.3</w:t>
          </w:r>
          <w:r>
            <w:rPr>
              <w:rFonts w:ascii="Times New Roman" w:hAnsi="Times New Roman" w:eastAsia="Times New Roman" w:cs="Times New Roman"/>
              <w:spacing w:val="4"/>
              <w:position w:val="1"/>
              <w:sz w:val="23"/>
              <w:szCs w:val="23"/>
            </w:rPr>
            <w:t xml:space="preserve">  </w:t>
          </w:r>
          <w:r>
            <w:rPr>
              <w:rFonts w:ascii="宋体" w:hAnsi="宋体" w:eastAsia="宋体" w:cs="宋体"/>
              <w:color w:val="404040"/>
              <w:spacing w:val="10"/>
              <w:position w:val="1"/>
              <w:sz w:val="23"/>
              <w:szCs w:val="23"/>
            </w:rPr>
            <w:t>预</w:t>
          </w:r>
          <w:r>
            <w:rPr>
              <w:rFonts w:ascii="宋体" w:hAnsi="宋体" w:eastAsia="宋体" w:cs="宋体"/>
              <w:spacing w:val="10"/>
              <w:position w:val="1"/>
              <w:sz w:val="23"/>
              <w:szCs w:val="23"/>
            </w:rPr>
            <w:t>案演练和修订</w:t>
          </w:r>
          <w:r>
            <w:rPr>
              <w:rFonts w:ascii="宋体" w:hAnsi="宋体" w:eastAsia="宋体" w:cs="宋体"/>
              <w:spacing w:val="-97"/>
              <w:position w:val="1"/>
              <w:sz w:val="23"/>
              <w:szCs w:val="23"/>
            </w:rPr>
            <w:t xml:space="preserve"> </w:t>
          </w:r>
          <w:r>
            <w:rPr>
              <w:rFonts w:ascii="宋体" w:hAnsi="宋体" w:eastAsia="宋体" w:cs="宋体"/>
              <w:position w:val="1"/>
              <w:sz w:val="23"/>
              <w:szCs w:val="23"/>
            </w:rPr>
            <w:tab/>
          </w:r>
          <w:r>
            <w:rPr>
              <w:rFonts w:ascii="Arial" w:hAnsi="Arial" w:eastAsia="Arial" w:cs="Arial"/>
              <w:spacing w:val="-2"/>
              <w:position w:val="1"/>
              <w:sz w:val="23"/>
              <w:szCs w:val="23"/>
            </w:rPr>
            <w:t>34</w:t>
          </w:r>
          <w:r>
            <w:rPr>
              <w:rFonts w:ascii="Arial" w:hAnsi="Arial" w:eastAsia="Arial" w:cs="Arial"/>
              <w:spacing w:val="-2"/>
              <w:position w:val="1"/>
              <w:sz w:val="23"/>
              <w:szCs w:val="23"/>
            </w:rPr>
            <w:fldChar w:fldCharType="end"/>
          </w:r>
        </w:p>
        <w:p w14:paraId="33BF183F">
          <w:pPr>
            <w:tabs>
              <w:tab w:val="right" w:leader="dot" w:pos="8305"/>
            </w:tabs>
            <w:spacing w:before="157" w:line="313" w:lineRule="exact"/>
            <w:ind w:left="479"/>
            <w:rPr>
              <w:rFonts w:ascii="Arial" w:hAnsi="Arial" w:eastAsia="Arial" w:cs="Arial"/>
              <w:sz w:val="23"/>
              <w:szCs w:val="23"/>
            </w:rPr>
          </w:pPr>
          <w:r>
            <w:fldChar w:fldCharType="begin"/>
          </w:r>
          <w:r>
            <w:instrText xml:space="preserve"> HYPERLINK \l "bookmark68" </w:instrText>
          </w:r>
          <w:r>
            <w:fldChar w:fldCharType="separate"/>
          </w:r>
          <w:r>
            <w:rPr>
              <w:rFonts w:ascii="Times New Roman" w:hAnsi="Times New Roman" w:eastAsia="Times New Roman" w:cs="Times New Roman"/>
              <w:spacing w:val="10"/>
              <w:position w:val="1"/>
              <w:sz w:val="23"/>
              <w:szCs w:val="23"/>
            </w:rPr>
            <w:t>7.4</w:t>
          </w:r>
          <w:r>
            <w:rPr>
              <w:rFonts w:ascii="Times New Roman" w:hAnsi="Times New Roman" w:eastAsia="Times New Roman" w:cs="Times New Roman"/>
              <w:spacing w:val="5"/>
              <w:position w:val="1"/>
              <w:sz w:val="23"/>
              <w:szCs w:val="23"/>
            </w:rPr>
            <w:t xml:space="preserve">  </w:t>
          </w:r>
          <w:r>
            <w:rPr>
              <w:rFonts w:ascii="宋体" w:hAnsi="宋体" w:eastAsia="宋体" w:cs="宋体"/>
              <w:spacing w:val="10"/>
              <w:position w:val="1"/>
              <w:sz w:val="23"/>
              <w:szCs w:val="23"/>
            </w:rPr>
            <w:t>预案实施日期</w:t>
          </w:r>
          <w:r>
            <w:rPr>
              <w:rFonts w:ascii="宋体" w:hAnsi="宋体" w:eastAsia="宋体" w:cs="宋体"/>
              <w:spacing w:val="-99"/>
              <w:position w:val="1"/>
              <w:sz w:val="23"/>
              <w:szCs w:val="23"/>
            </w:rPr>
            <w:t xml:space="preserve"> </w:t>
          </w:r>
          <w:r>
            <w:rPr>
              <w:rFonts w:ascii="宋体" w:hAnsi="宋体" w:eastAsia="宋体" w:cs="宋体"/>
              <w:position w:val="1"/>
              <w:sz w:val="23"/>
              <w:szCs w:val="23"/>
            </w:rPr>
            <w:tab/>
          </w:r>
          <w:r>
            <w:rPr>
              <w:rFonts w:ascii="Arial" w:hAnsi="Arial" w:eastAsia="Arial" w:cs="Arial"/>
              <w:spacing w:val="-2"/>
              <w:position w:val="1"/>
              <w:sz w:val="23"/>
              <w:szCs w:val="23"/>
            </w:rPr>
            <w:t>35</w:t>
          </w:r>
          <w:r>
            <w:rPr>
              <w:rFonts w:ascii="Arial" w:hAnsi="Arial" w:eastAsia="Arial" w:cs="Arial"/>
              <w:spacing w:val="-2"/>
              <w:position w:val="1"/>
              <w:sz w:val="23"/>
              <w:szCs w:val="23"/>
            </w:rPr>
            <w:fldChar w:fldCharType="end"/>
          </w:r>
        </w:p>
        <w:p w14:paraId="1D5EF229">
          <w:pPr>
            <w:tabs>
              <w:tab w:val="right" w:leader="dot" w:pos="8315"/>
            </w:tabs>
            <w:spacing w:before="145" w:line="314" w:lineRule="exact"/>
            <w:rPr>
              <w:rFonts w:ascii="Arial" w:hAnsi="Arial" w:eastAsia="Arial" w:cs="Arial"/>
              <w:sz w:val="23"/>
              <w:szCs w:val="23"/>
            </w:rPr>
          </w:pPr>
          <w:r>
            <w:fldChar w:fldCharType="begin"/>
          </w:r>
          <w:r>
            <w:instrText xml:space="preserve"> HYPERLINK \l "bookmark69" </w:instrText>
          </w:r>
          <w:r>
            <w:fldChar w:fldCharType="separate"/>
          </w:r>
          <w:r>
            <w:rPr>
              <w:rFonts w:ascii="Times New Roman" w:hAnsi="Times New Roman" w:eastAsia="Times New Roman" w:cs="Times New Roman"/>
              <w:spacing w:val="-17"/>
              <w:position w:val="1"/>
              <w:sz w:val="23"/>
              <w:szCs w:val="23"/>
            </w:rPr>
            <w:t>8</w:t>
          </w:r>
          <w:r>
            <w:rPr>
              <w:rFonts w:ascii="Times New Roman" w:hAnsi="Times New Roman" w:eastAsia="Times New Roman" w:cs="Times New Roman"/>
              <w:spacing w:val="22"/>
              <w:position w:val="1"/>
              <w:sz w:val="23"/>
              <w:szCs w:val="23"/>
            </w:rPr>
            <w:t xml:space="preserve"> </w:t>
          </w:r>
          <w:r>
            <w:rPr>
              <w:rFonts w:ascii="宋体" w:hAnsi="宋体" w:eastAsia="宋体" w:cs="宋体"/>
              <w:spacing w:val="-17"/>
              <w:position w:val="1"/>
              <w:sz w:val="23"/>
              <w:szCs w:val="23"/>
            </w:rPr>
            <w:t>附</w:t>
          </w:r>
          <w:r>
            <w:rPr>
              <w:rFonts w:ascii="宋体" w:hAnsi="宋体" w:eastAsia="宋体" w:cs="宋体"/>
              <w:spacing w:val="-40"/>
              <w:position w:val="1"/>
              <w:sz w:val="23"/>
              <w:szCs w:val="23"/>
            </w:rPr>
            <w:t xml:space="preserve"> </w:t>
          </w:r>
          <w:r>
            <w:rPr>
              <w:rFonts w:ascii="宋体" w:hAnsi="宋体" w:eastAsia="宋体" w:cs="宋体"/>
              <w:spacing w:val="-17"/>
              <w:position w:val="1"/>
              <w:sz w:val="23"/>
              <w:szCs w:val="23"/>
            </w:rPr>
            <w:t>件</w:t>
          </w:r>
          <w:r>
            <w:rPr>
              <w:rFonts w:ascii="宋体" w:hAnsi="宋体" w:eastAsia="宋体" w:cs="宋体"/>
              <w:spacing w:val="-95"/>
              <w:position w:val="1"/>
              <w:sz w:val="23"/>
              <w:szCs w:val="23"/>
            </w:rPr>
            <w:t xml:space="preserve"> </w:t>
          </w:r>
          <w:r>
            <w:rPr>
              <w:rFonts w:ascii="宋体" w:hAnsi="宋体" w:eastAsia="宋体" w:cs="宋体"/>
              <w:position w:val="1"/>
              <w:sz w:val="23"/>
              <w:szCs w:val="23"/>
            </w:rPr>
            <w:tab/>
          </w:r>
          <w:r>
            <w:rPr>
              <w:rFonts w:ascii="Arial" w:hAnsi="Arial" w:eastAsia="Arial" w:cs="Arial"/>
              <w:spacing w:val="13"/>
              <w:position w:val="1"/>
              <w:sz w:val="23"/>
              <w:szCs w:val="23"/>
            </w:rPr>
            <w:t>35</w:t>
          </w:r>
          <w:r>
            <w:rPr>
              <w:rFonts w:ascii="Arial" w:hAnsi="Arial" w:eastAsia="Arial" w:cs="Arial"/>
              <w:spacing w:val="13"/>
              <w:position w:val="1"/>
              <w:sz w:val="23"/>
              <w:szCs w:val="23"/>
            </w:rPr>
            <w:fldChar w:fldCharType="end"/>
          </w:r>
        </w:p>
      </w:sdtContent>
    </w:sdt>
    <w:p w14:paraId="0F14B249">
      <w:pPr>
        <w:spacing w:line="314" w:lineRule="exact"/>
        <w:rPr>
          <w:rFonts w:ascii="Arial" w:hAnsi="Arial" w:eastAsia="Arial" w:cs="Arial"/>
          <w:sz w:val="23"/>
          <w:szCs w:val="23"/>
        </w:rPr>
        <w:sectPr>
          <w:pgSz w:w="11910" w:h="16850"/>
          <w:pgMar w:top="1432" w:right="1786" w:bottom="0" w:left="1700" w:header="0" w:footer="0" w:gutter="0"/>
          <w:cols w:space="720" w:num="1"/>
        </w:sectPr>
      </w:pPr>
    </w:p>
    <w:p w14:paraId="2190260A">
      <w:pPr>
        <w:spacing w:before="327" w:line="220" w:lineRule="auto"/>
        <w:rPr>
          <w:rFonts w:ascii="宋体" w:hAnsi="宋体" w:eastAsia="宋体" w:cs="宋体"/>
          <w:sz w:val="33"/>
          <w:szCs w:val="33"/>
        </w:rPr>
      </w:pPr>
      <w:r>
        <w:rPr>
          <w:rFonts w:ascii="宋体" w:hAnsi="宋体" w:eastAsia="宋体" w:cs="宋体"/>
          <w:spacing w:val="-19"/>
          <w:sz w:val="33"/>
          <w:szCs w:val="33"/>
        </w:rPr>
        <w:t>1</w:t>
      </w:r>
      <w:r>
        <w:rPr>
          <w:rFonts w:ascii="宋体" w:hAnsi="宋体" w:eastAsia="宋体" w:cs="宋体"/>
          <w:spacing w:val="2"/>
          <w:sz w:val="33"/>
          <w:szCs w:val="33"/>
        </w:rPr>
        <w:t xml:space="preserve"> </w:t>
      </w:r>
      <w:r>
        <w:rPr>
          <w:rFonts w:ascii="宋体" w:hAnsi="宋体" w:eastAsia="宋体" w:cs="宋体"/>
          <w:b/>
          <w:bCs/>
          <w:spacing w:val="-19"/>
          <w:sz w:val="33"/>
          <w:szCs w:val="33"/>
        </w:rPr>
        <w:t>总则</w:t>
      </w:r>
    </w:p>
    <w:p w14:paraId="6E3ED3F7">
      <w:pPr>
        <w:spacing w:before="244" w:line="219" w:lineRule="auto"/>
        <w:outlineLvl w:val="1"/>
        <w:rPr>
          <w:rFonts w:ascii="宋体" w:hAnsi="宋体" w:eastAsia="宋体" w:cs="宋体"/>
          <w:sz w:val="28"/>
          <w:szCs w:val="28"/>
        </w:rPr>
      </w:pPr>
      <w:bookmarkStart w:id="2" w:name="bookmark1"/>
      <w:bookmarkEnd w:id="2"/>
      <w:r>
        <w:rPr>
          <w:rFonts w:ascii="宋体" w:hAnsi="宋体" w:eastAsia="宋体" w:cs="宋体"/>
          <w:spacing w:val="9"/>
          <w:sz w:val="28"/>
          <w:szCs w:val="28"/>
        </w:rPr>
        <w:t>1.</w:t>
      </w:r>
      <w:r>
        <w:rPr>
          <w:rFonts w:ascii="宋体" w:hAnsi="宋体" w:eastAsia="宋体" w:cs="宋体"/>
          <w:b/>
          <w:bCs/>
          <w:spacing w:val="9"/>
          <w:sz w:val="28"/>
          <w:szCs w:val="28"/>
        </w:rPr>
        <w:t>1编制目的</w:t>
      </w:r>
    </w:p>
    <w:p w14:paraId="148E82A5">
      <w:pPr>
        <w:spacing w:before="248" w:line="356" w:lineRule="auto"/>
        <w:ind w:right="143" w:firstLine="509"/>
        <w:jc w:val="both"/>
        <w:rPr>
          <w:rFonts w:ascii="宋体" w:hAnsi="宋体" w:eastAsia="宋体" w:cs="宋体"/>
          <w:sz w:val="24"/>
          <w:szCs w:val="24"/>
        </w:rPr>
      </w:pPr>
      <w:r>
        <w:rPr>
          <w:rFonts w:ascii="宋体" w:hAnsi="宋体" w:eastAsia="宋体" w:cs="宋体"/>
          <w:spacing w:val="-2"/>
          <w:sz w:val="24"/>
          <w:szCs w:val="24"/>
        </w:rPr>
        <w:t>饮水安全是关系国计民生的重大问题，饮用水水源保护直接影响城乡居民饮</w:t>
      </w:r>
      <w:r>
        <w:rPr>
          <w:rFonts w:ascii="宋体" w:hAnsi="宋体" w:eastAsia="宋体" w:cs="宋体"/>
          <w:spacing w:val="15"/>
          <w:sz w:val="24"/>
          <w:szCs w:val="24"/>
        </w:rPr>
        <w:t xml:space="preserve"> </w:t>
      </w:r>
      <w:r>
        <w:rPr>
          <w:rFonts w:ascii="宋体" w:hAnsi="宋体" w:eastAsia="宋体" w:cs="宋体"/>
          <w:spacing w:val="-2"/>
          <w:sz w:val="24"/>
          <w:szCs w:val="24"/>
        </w:rPr>
        <w:t>水安全，关系群众身体健康和国家长治久安。为建立健全饮用水水源保护区突发</w:t>
      </w:r>
      <w:r>
        <w:rPr>
          <w:rFonts w:ascii="宋体" w:hAnsi="宋体" w:eastAsia="宋体" w:cs="宋体"/>
          <w:spacing w:val="9"/>
          <w:sz w:val="24"/>
          <w:szCs w:val="24"/>
        </w:rPr>
        <w:t xml:space="preserve"> </w:t>
      </w:r>
      <w:r>
        <w:rPr>
          <w:rFonts w:ascii="宋体" w:hAnsi="宋体" w:eastAsia="宋体" w:cs="宋体"/>
          <w:spacing w:val="6"/>
          <w:sz w:val="24"/>
          <w:szCs w:val="24"/>
        </w:rPr>
        <w:t>环境事件应急机制，明确突发环境事件应急状态下相关人员的通讯渠道及</w:t>
      </w:r>
      <w:r>
        <w:rPr>
          <w:rFonts w:ascii="宋体" w:hAnsi="宋体" w:eastAsia="宋体" w:cs="宋体"/>
          <w:spacing w:val="5"/>
          <w:sz w:val="24"/>
          <w:szCs w:val="24"/>
        </w:rPr>
        <w:t>其职</w:t>
      </w:r>
      <w:r>
        <w:rPr>
          <w:rFonts w:ascii="宋体" w:hAnsi="宋体" w:eastAsia="宋体" w:cs="宋体"/>
          <w:sz w:val="24"/>
          <w:szCs w:val="24"/>
        </w:rPr>
        <w:t xml:space="preserve"> </w:t>
      </w:r>
      <w:r>
        <w:rPr>
          <w:rFonts w:ascii="宋体" w:hAnsi="宋体" w:eastAsia="宋体" w:cs="宋体"/>
          <w:spacing w:val="-2"/>
          <w:sz w:val="24"/>
          <w:szCs w:val="24"/>
        </w:rPr>
        <w:t>责，并通过培训和演习提高相关人员应对公共饮水</w:t>
      </w:r>
      <w:r>
        <w:rPr>
          <w:rFonts w:ascii="宋体" w:hAnsi="宋体" w:eastAsia="宋体" w:cs="宋体"/>
          <w:spacing w:val="-3"/>
          <w:sz w:val="24"/>
          <w:szCs w:val="24"/>
        </w:rPr>
        <w:t>危机的能力，能在突发事故的</w:t>
      </w:r>
      <w:r>
        <w:rPr>
          <w:rFonts w:ascii="宋体" w:hAnsi="宋体" w:eastAsia="宋体" w:cs="宋体"/>
          <w:sz w:val="24"/>
          <w:szCs w:val="24"/>
        </w:rPr>
        <w:t xml:space="preserve"> </w:t>
      </w:r>
      <w:r>
        <w:rPr>
          <w:rFonts w:ascii="宋体" w:hAnsi="宋体" w:eastAsia="宋体" w:cs="宋体"/>
          <w:spacing w:val="-7"/>
          <w:sz w:val="24"/>
          <w:szCs w:val="24"/>
        </w:rPr>
        <w:t>处理中迅速、高效、有序地开展应急救助工作，把事件造成的危害降至最低程度，</w:t>
      </w:r>
      <w:r>
        <w:rPr>
          <w:rFonts w:ascii="宋体" w:hAnsi="宋体" w:eastAsia="宋体" w:cs="宋体"/>
          <w:spacing w:val="11"/>
          <w:sz w:val="24"/>
          <w:szCs w:val="24"/>
        </w:rPr>
        <w:t xml:space="preserve"> </w:t>
      </w:r>
      <w:r>
        <w:rPr>
          <w:rFonts w:ascii="宋体" w:hAnsi="宋体" w:eastAsia="宋体" w:cs="宋体"/>
          <w:spacing w:val="-1"/>
          <w:sz w:val="24"/>
          <w:szCs w:val="24"/>
        </w:rPr>
        <w:t>保障公众生命健康，维护社会稳定，环境安全和社会秩序，特制定本预案。</w:t>
      </w:r>
    </w:p>
    <w:p w14:paraId="4DF4DB57">
      <w:pPr>
        <w:spacing w:before="83" w:line="220" w:lineRule="auto"/>
        <w:outlineLvl w:val="1"/>
        <w:rPr>
          <w:rFonts w:ascii="宋体" w:hAnsi="宋体" w:eastAsia="宋体" w:cs="宋体"/>
          <w:sz w:val="28"/>
          <w:szCs w:val="28"/>
        </w:rPr>
      </w:pPr>
      <w:bookmarkStart w:id="3" w:name="bookmark2"/>
      <w:bookmarkEnd w:id="3"/>
      <w:r>
        <w:rPr>
          <w:rFonts w:ascii="宋体" w:hAnsi="宋体" w:eastAsia="宋体" w:cs="宋体"/>
          <w:spacing w:val="9"/>
          <w:sz w:val="28"/>
          <w:szCs w:val="28"/>
        </w:rPr>
        <w:t>1.</w:t>
      </w:r>
      <w:r>
        <w:rPr>
          <w:rFonts w:ascii="宋体" w:hAnsi="宋体" w:eastAsia="宋体" w:cs="宋体"/>
          <w:b/>
          <w:bCs/>
          <w:spacing w:val="9"/>
          <w:sz w:val="28"/>
          <w:szCs w:val="28"/>
        </w:rPr>
        <w:t>2适用范围</w:t>
      </w:r>
    </w:p>
    <w:p w14:paraId="6BA1D18A">
      <w:pPr>
        <w:spacing w:before="266" w:line="327" w:lineRule="auto"/>
        <w:ind w:right="333" w:firstLine="489"/>
        <w:rPr>
          <w:rFonts w:ascii="宋体" w:hAnsi="宋体" w:eastAsia="宋体" w:cs="宋体"/>
          <w:sz w:val="24"/>
          <w:szCs w:val="24"/>
        </w:rPr>
      </w:pPr>
      <w:r>
        <w:rPr>
          <w:rFonts w:ascii="宋体" w:hAnsi="宋体" w:eastAsia="宋体" w:cs="宋体"/>
          <w:spacing w:val="1"/>
          <w:sz w:val="24"/>
          <w:szCs w:val="24"/>
        </w:rPr>
        <w:t>本预案适用于包头市石拐区集中式饮</w:t>
      </w:r>
      <w:r>
        <w:rPr>
          <w:rFonts w:ascii="宋体" w:hAnsi="宋体" w:eastAsia="宋体" w:cs="宋体"/>
          <w:color w:val="507070"/>
          <w:spacing w:val="1"/>
          <w:sz w:val="24"/>
          <w:szCs w:val="24"/>
        </w:rPr>
        <w:t>用水水源地突发性环境事件的应急处</w:t>
      </w:r>
      <w:r>
        <w:rPr>
          <w:rFonts w:ascii="宋体" w:hAnsi="宋体" w:eastAsia="宋体" w:cs="宋体"/>
          <w:color w:val="507070"/>
          <w:spacing w:val="7"/>
          <w:sz w:val="24"/>
          <w:szCs w:val="24"/>
        </w:rPr>
        <w:t xml:space="preserve"> </w:t>
      </w:r>
      <w:r>
        <w:rPr>
          <w:rFonts w:ascii="宋体" w:hAnsi="宋体" w:eastAsia="宋体" w:cs="宋体"/>
          <w:spacing w:val="-3"/>
          <w:sz w:val="24"/>
          <w:szCs w:val="24"/>
        </w:rPr>
        <w:t>置。</w:t>
      </w:r>
    </w:p>
    <w:p w14:paraId="2E678192">
      <w:pPr>
        <w:spacing w:before="107" w:line="219" w:lineRule="auto"/>
        <w:outlineLvl w:val="1"/>
        <w:rPr>
          <w:rFonts w:ascii="宋体" w:hAnsi="宋体" w:eastAsia="宋体" w:cs="宋体"/>
          <w:sz w:val="28"/>
          <w:szCs w:val="28"/>
        </w:rPr>
      </w:pPr>
      <w:bookmarkStart w:id="4" w:name="bookmark3"/>
      <w:bookmarkEnd w:id="4"/>
      <w:r>
        <w:rPr>
          <w:rFonts w:ascii="宋体" w:hAnsi="宋体" w:eastAsia="宋体" w:cs="宋体"/>
          <w:spacing w:val="8"/>
          <w:sz w:val="28"/>
          <w:szCs w:val="28"/>
        </w:rPr>
        <w:t>1.</w:t>
      </w:r>
      <w:r>
        <w:rPr>
          <w:rFonts w:ascii="宋体" w:hAnsi="宋体" w:eastAsia="宋体" w:cs="宋体"/>
          <w:b/>
          <w:bCs/>
          <w:spacing w:val="8"/>
          <w:sz w:val="28"/>
          <w:szCs w:val="28"/>
        </w:rPr>
        <w:t>3编制依据</w:t>
      </w:r>
    </w:p>
    <w:p w14:paraId="492134B0">
      <w:pPr>
        <w:spacing w:before="227" w:line="219" w:lineRule="auto"/>
        <w:ind w:left="3"/>
        <w:outlineLvl w:val="2"/>
        <w:rPr>
          <w:rFonts w:ascii="宋体" w:hAnsi="宋体" w:eastAsia="宋体" w:cs="宋体"/>
          <w:sz w:val="26"/>
          <w:szCs w:val="26"/>
        </w:rPr>
      </w:pPr>
      <w:bookmarkStart w:id="5" w:name="bookmark4"/>
      <w:bookmarkEnd w:id="5"/>
      <w:r>
        <w:rPr>
          <w:rFonts w:ascii="宋体" w:hAnsi="宋体" w:eastAsia="宋体" w:cs="宋体"/>
          <w:b/>
          <w:bCs/>
          <w:spacing w:val="-14"/>
          <w:sz w:val="26"/>
          <w:szCs w:val="26"/>
        </w:rPr>
        <w:t>1.3.1法律依据及规范性文件</w:t>
      </w:r>
    </w:p>
    <w:p w14:paraId="6CF6FBF7">
      <w:pPr>
        <w:spacing w:before="197" w:line="219" w:lineRule="auto"/>
        <w:ind w:left="590"/>
        <w:rPr>
          <w:rFonts w:ascii="宋体" w:hAnsi="宋体" w:eastAsia="宋体" w:cs="宋体"/>
          <w:sz w:val="24"/>
          <w:szCs w:val="24"/>
        </w:rPr>
      </w:pPr>
      <w:r>
        <w:rPr>
          <w:rFonts w:ascii="宋体" w:hAnsi="宋体" w:eastAsia="宋体" w:cs="宋体"/>
          <w:spacing w:val="14"/>
          <w:sz w:val="24"/>
          <w:szCs w:val="24"/>
        </w:rPr>
        <w:t>(1)《中华人民共和国环境保护法》(2015.01);</w:t>
      </w:r>
    </w:p>
    <w:p w14:paraId="68F83912">
      <w:pPr>
        <w:spacing w:before="185" w:line="219" w:lineRule="auto"/>
        <w:ind w:left="590"/>
        <w:rPr>
          <w:rFonts w:ascii="宋体" w:hAnsi="宋体" w:eastAsia="宋体" w:cs="宋体"/>
          <w:sz w:val="24"/>
          <w:szCs w:val="24"/>
        </w:rPr>
      </w:pPr>
      <w:r>
        <w:rPr>
          <w:rFonts w:ascii="宋体" w:hAnsi="宋体" w:eastAsia="宋体" w:cs="宋体"/>
          <w:spacing w:val="14"/>
          <w:sz w:val="24"/>
          <w:szCs w:val="24"/>
        </w:rPr>
        <w:t>(2)《中华人民共和国水污染防治法》(2018.1);</w:t>
      </w:r>
    </w:p>
    <w:p w14:paraId="618E5119">
      <w:pPr>
        <w:spacing w:before="175" w:line="219" w:lineRule="auto"/>
        <w:ind w:left="590"/>
        <w:rPr>
          <w:rFonts w:ascii="宋体" w:hAnsi="宋体" w:eastAsia="宋体" w:cs="宋体"/>
          <w:sz w:val="24"/>
          <w:szCs w:val="24"/>
        </w:rPr>
      </w:pPr>
      <w:r>
        <w:rPr>
          <w:rFonts w:ascii="宋体" w:hAnsi="宋体" w:eastAsia="宋体" w:cs="宋体"/>
          <w:spacing w:val="16"/>
          <w:sz w:val="24"/>
          <w:szCs w:val="24"/>
        </w:rPr>
        <w:t>(3)《中华人民共和国水法》(2016.9);</w:t>
      </w:r>
    </w:p>
    <w:p w14:paraId="2B73B5FD">
      <w:pPr>
        <w:spacing w:before="185" w:line="219" w:lineRule="auto"/>
        <w:ind w:left="590"/>
        <w:rPr>
          <w:rFonts w:ascii="宋体" w:hAnsi="宋体" w:eastAsia="宋体" w:cs="宋体"/>
          <w:sz w:val="24"/>
          <w:szCs w:val="24"/>
        </w:rPr>
      </w:pPr>
      <w:r>
        <w:rPr>
          <w:rFonts w:ascii="宋体" w:hAnsi="宋体" w:eastAsia="宋体" w:cs="宋体"/>
          <w:spacing w:val="8"/>
          <w:sz w:val="24"/>
          <w:szCs w:val="24"/>
        </w:rPr>
        <w:t>(4)《中华人民共和国固体废物污染环境防治法(修订草案)》(201</w:t>
      </w:r>
      <w:r>
        <w:rPr>
          <w:rFonts w:ascii="宋体" w:hAnsi="宋体" w:eastAsia="宋体" w:cs="宋体"/>
          <w:spacing w:val="7"/>
          <w:sz w:val="24"/>
          <w:szCs w:val="24"/>
        </w:rPr>
        <w:t>9.6);</w:t>
      </w:r>
    </w:p>
    <w:p w14:paraId="7C8E1DEE">
      <w:pPr>
        <w:spacing w:before="166" w:line="219" w:lineRule="auto"/>
        <w:ind w:left="590"/>
        <w:rPr>
          <w:rFonts w:ascii="宋体" w:hAnsi="宋体" w:eastAsia="宋体" w:cs="宋体"/>
          <w:sz w:val="24"/>
          <w:szCs w:val="24"/>
        </w:rPr>
      </w:pPr>
      <w:r>
        <w:rPr>
          <w:rFonts w:ascii="宋体" w:hAnsi="宋体" w:eastAsia="宋体" w:cs="宋体"/>
          <w:spacing w:val="12"/>
          <w:sz w:val="24"/>
          <w:szCs w:val="24"/>
        </w:rPr>
        <w:t>(5)《中华人民共和国水上保持法》(2011.03)</w:t>
      </w:r>
    </w:p>
    <w:p w14:paraId="547D1D5B">
      <w:pPr>
        <w:spacing w:before="205" w:line="219" w:lineRule="auto"/>
        <w:ind w:left="590"/>
        <w:rPr>
          <w:rFonts w:ascii="宋体" w:hAnsi="宋体" w:eastAsia="宋体" w:cs="宋体"/>
          <w:sz w:val="24"/>
          <w:szCs w:val="24"/>
        </w:rPr>
      </w:pPr>
      <w:r>
        <w:rPr>
          <w:rFonts w:ascii="宋体" w:hAnsi="宋体" w:eastAsia="宋体" w:cs="宋体"/>
          <w:spacing w:val="12"/>
          <w:sz w:val="24"/>
          <w:szCs w:val="24"/>
        </w:rPr>
        <w:t>(6)《内蒙古自治区环境保护条例》(2012.3.31</w:t>
      </w:r>
      <w:r>
        <w:rPr>
          <w:rFonts w:ascii="宋体" w:hAnsi="宋体" w:eastAsia="宋体" w:cs="宋体"/>
          <w:spacing w:val="-19"/>
          <w:sz w:val="24"/>
          <w:szCs w:val="24"/>
        </w:rPr>
        <w:t xml:space="preserve"> </w:t>
      </w:r>
      <w:r>
        <w:rPr>
          <w:rFonts w:ascii="宋体" w:hAnsi="宋体" w:eastAsia="宋体" w:cs="宋体"/>
          <w:spacing w:val="12"/>
          <w:sz w:val="24"/>
          <w:szCs w:val="24"/>
        </w:rPr>
        <w:t>第四次修正);</w:t>
      </w:r>
    </w:p>
    <w:p w14:paraId="7814CF1F">
      <w:pPr>
        <w:spacing w:before="205" w:line="219" w:lineRule="auto"/>
        <w:ind w:left="590"/>
        <w:rPr>
          <w:rFonts w:ascii="宋体" w:hAnsi="宋体" w:eastAsia="宋体" w:cs="宋体"/>
          <w:sz w:val="24"/>
          <w:szCs w:val="24"/>
        </w:rPr>
      </w:pPr>
      <w:r>
        <w:rPr>
          <w:rFonts w:ascii="宋体" w:hAnsi="宋体" w:eastAsia="宋体" w:cs="宋体"/>
          <w:spacing w:val="22"/>
          <w:sz w:val="24"/>
          <w:szCs w:val="24"/>
        </w:rPr>
        <w:t>(7)《内蒙古自治区饮用水水源保护条例》(2018年1月1日起施行);</w:t>
      </w:r>
    </w:p>
    <w:p w14:paraId="3F3B073D">
      <w:pPr>
        <w:spacing w:before="166" w:line="219" w:lineRule="auto"/>
        <w:ind w:left="590"/>
        <w:rPr>
          <w:rFonts w:ascii="宋体" w:hAnsi="宋体" w:eastAsia="宋体" w:cs="宋体"/>
          <w:sz w:val="24"/>
          <w:szCs w:val="24"/>
        </w:rPr>
      </w:pPr>
      <w:r>
        <w:rPr>
          <w:rFonts w:ascii="宋体" w:hAnsi="宋体" w:eastAsia="宋体" w:cs="宋体"/>
          <w:spacing w:val="5"/>
          <w:sz w:val="24"/>
          <w:szCs w:val="24"/>
        </w:rPr>
        <w:t>(8)《包头市城市饮用水源保护区污染防治管理办法》;</w:t>
      </w:r>
    </w:p>
    <w:p w14:paraId="660C8E1B">
      <w:pPr>
        <w:spacing w:before="175" w:line="219" w:lineRule="auto"/>
        <w:ind w:left="590"/>
        <w:rPr>
          <w:rFonts w:ascii="宋体" w:hAnsi="宋体" w:eastAsia="宋体" w:cs="宋体"/>
          <w:sz w:val="24"/>
          <w:szCs w:val="24"/>
        </w:rPr>
      </w:pPr>
      <w:r>
        <w:rPr>
          <w:rFonts w:ascii="宋体" w:hAnsi="宋体" w:eastAsia="宋体" w:cs="宋体"/>
          <w:spacing w:val="11"/>
          <w:sz w:val="24"/>
          <w:szCs w:val="24"/>
        </w:rPr>
        <w:t>(9)《国务院关于实行最严格水资源管制度的意见》(国发(2012)3号);</w:t>
      </w:r>
    </w:p>
    <w:p w14:paraId="3A9400BA">
      <w:pPr>
        <w:spacing w:before="175" w:line="219" w:lineRule="auto"/>
        <w:ind w:left="590"/>
        <w:rPr>
          <w:rFonts w:ascii="宋体" w:hAnsi="宋体" w:eastAsia="宋体" w:cs="宋体"/>
          <w:sz w:val="24"/>
          <w:szCs w:val="24"/>
        </w:rPr>
      </w:pPr>
      <w:r>
        <w:rPr>
          <w:rFonts w:ascii="宋体" w:hAnsi="宋体" w:eastAsia="宋体" w:cs="宋体"/>
          <w:color w:val="507070"/>
          <w:spacing w:val="5"/>
          <w:sz w:val="24"/>
          <w:szCs w:val="24"/>
        </w:rPr>
        <w:t>(10)《国务院关于印发水污染防治行动计划的通</w:t>
      </w:r>
      <w:r>
        <w:rPr>
          <w:rFonts w:ascii="宋体" w:hAnsi="宋体" w:eastAsia="宋体" w:cs="宋体"/>
          <w:color w:val="507070"/>
          <w:spacing w:val="4"/>
          <w:sz w:val="24"/>
          <w:szCs w:val="24"/>
        </w:rPr>
        <w:t>知》(国发(2015)17号);</w:t>
      </w:r>
    </w:p>
    <w:p w14:paraId="059B3941">
      <w:pPr>
        <w:spacing w:before="176" w:line="219" w:lineRule="auto"/>
        <w:ind w:left="590"/>
        <w:rPr>
          <w:rFonts w:ascii="宋体" w:hAnsi="宋体" w:eastAsia="宋体" w:cs="宋体"/>
          <w:sz w:val="24"/>
          <w:szCs w:val="24"/>
        </w:rPr>
      </w:pPr>
      <w:r>
        <w:rPr>
          <w:rFonts w:ascii="宋体" w:hAnsi="宋体" w:eastAsia="宋体" w:cs="宋体"/>
          <w:spacing w:val="14"/>
          <w:sz w:val="24"/>
          <w:szCs w:val="24"/>
        </w:rPr>
        <w:t>(11)《水功能区监督管理办法》(2017</w:t>
      </w:r>
      <w:r>
        <w:rPr>
          <w:rFonts w:ascii="宋体" w:hAnsi="宋体" w:eastAsia="宋体" w:cs="宋体"/>
          <w:spacing w:val="13"/>
          <w:sz w:val="24"/>
          <w:szCs w:val="24"/>
        </w:rPr>
        <w:t>.02)。</w:t>
      </w:r>
    </w:p>
    <w:p w14:paraId="23E7E649">
      <w:pPr>
        <w:spacing w:before="205" w:line="219" w:lineRule="auto"/>
        <w:ind w:left="590"/>
        <w:rPr>
          <w:rFonts w:ascii="宋体" w:hAnsi="宋体" w:eastAsia="宋体" w:cs="宋体"/>
          <w:sz w:val="24"/>
          <w:szCs w:val="24"/>
        </w:rPr>
      </w:pPr>
      <w:r>
        <w:rPr>
          <w:rFonts w:ascii="宋体" w:hAnsi="宋体" w:eastAsia="宋体" w:cs="宋体"/>
          <w:spacing w:val="16"/>
          <w:sz w:val="24"/>
          <w:szCs w:val="24"/>
        </w:rPr>
        <w:t>(12)《饮用水水源保护区污染防治管理规定》(2010年修</w:t>
      </w:r>
      <w:r>
        <w:rPr>
          <w:rFonts w:ascii="宋体" w:hAnsi="宋体" w:eastAsia="宋体" w:cs="宋体"/>
          <w:spacing w:val="15"/>
          <w:sz w:val="24"/>
          <w:szCs w:val="24"/>
        </w:rPr>
        <w:t>改);</w:t>
      </w:r>
    </w:p>
    <w:p w14:paraId="26764440">
      <w:pPr>
        <w:spacing w:before="185" w:line="219" w:lineRule="auto"/>
        <w:ind w:left="590"/>
        <w:rPr>
          <w:rFonts w:ascii="宋体" w:hAnsi="宋体" w:eastAsia="宋体" w:cs="宋体"/>
          <w:sz w:val="24"/>
          <w:szCs w:val="24"/>
        </w:rPr>
      </w:pPr>
      <w:r>
        <w:rPr>
          <w:rFonts w:ascii="宋体" w:hAnsi="宋体" w:eastAsia="宋体" w:cs="宋体"/>
          <w:spacing w:val="13"/>
          <w:sz w:val="24"/>
          <w:szCs w:val="24"/>
        </w:rPr>
        <w:t>(13)《中华人民共和国突发事件应对法</w:t>
      </w:r>
      <w:r>
        <w:rPr>
          <w:rFonts w:ascii="宋体" w:hAnsi="宋体" w:eastAsia="宋体" w:cs="宋体"/>
          <w:spacing w:val="12"/>
          <w:sz w:val="24"/>
          <w:szCs w:val="24"/>
        </w:rPr>
        <w:t>》(2007.11);</w:t>
      </w:r>
    </w:p>
    <w:p w14:paraId="4DA44AD2">
      <w:pPr>
        <w:spacing w:before="186" w:line="219" w:lineRule="auto"/>
        <w:ind w:left="590"/>
        <w:rPr>
          <w:rFonts w:ascii="宋体" w:hAnsi="宋体" w:eastAsia="宋体" w:cs="宋体"/>
          <w:sz w:val="24"/>
          <w:szCs w:val="24"/>
        </w:rPr>
      </w:pPr>
      <w:r>
        <w:rPr>
          <w:rFonts w:ascii="宋体" w:hAnsi="宋体" w:eastAsia="宋体" w:cs="宋体"/>
          <w:spacing w:val="-2"/>
          <w:sz w:val="24"/>
          <w:szCs w:val="24"/>
        </w:rPr>
        <w:t>(14)《危险化学品安全管理条例》</w:t>
      </w:r>
      <w:r>
        <w:rPr>
          <w:rFonts w:ascii="宋体" w:hAnsi="宋体" w:eastAsia="宋体" w:cs="宋体"/>
          <w:spacing w:val="98"/>
          <w:sz w:val="24"/>
          <w:szCs w:val="24"/>
        </w:rPr>
        <w:t xml:space="preserve"> </w:t>
      </w:r>
      <w:r>
        <w:rPr>
          <w:rFonts w:ascii="宋体" w:hAnsi="宋体" w:eastAsia="宋体" w:cs="宋体"/>
          <w:spacing w:val="-2"/>
          <w:sz w:val="24"/>
          <w:szCs w:val="24"/>
        </w:rPr>
        <w:t>(2013.12);</w:t>
      </w:r>
    </w:p>
    <w:p w14:paraId="0FBAE7E8">
      <w:pPr>
        <w:spacing w:line="219" w:lineRule="auto"/>
        <w:rPr>
          <w:rFonts w:ascii="宋体" w:hAnsi="宋体" w:eastAsia="宋体" w:cs="宋体"/>
          <w:sz w:val="24"/>
          <w:szCs w:val="24"/>
        </w:rPr>
        <w:sectPr>
          <w:footerReference r:id="rId5" w:type="default"/>
          <w:pgSz w:w="11910" w:h="16850"/>
          <w:pgMar w:top="1432" w:right="1786" w:bottom="1502" w:left="1579" w:header="0" w:footer="1367" w:gutter="0"/>
          <w:cols w:space="720" w:num="1"/>
        </w:sectPr>
      </w:pPr>
    </w:p>
    <w:p w14:paraId="7A89C212">
      <w:pPr>
        <w:spacing w:before="187" w:line="219" w:lineRule="auto"/>
        <w:ind w:left="530"/>
        <w:rPr>
          <w:rFonts w:ascii="宋体" w:hAnsi="宋体" w:eastAsia="宋体" w:cs="宋体"/>
          <w:sz w:val="24"/>
          <w:szCs w:val="24"/>
        </w:rPr>
      </w:pPr>
      <w:bookmarkStart w:id="6" w:name="bookmark70"/>
      <w:bookmarkEnd w:id="6"/>
      <w:r>
        <w:rPr>
          <w:rFonts w:ascii="宋体" w:hAnsi="宋体" w:eastAsia="宋体" w:cs="宋体"/>
          <w:spacing w:val="4"/>
          <w:sz w:val="24"/>
          <w:szCs w:val="24"/>
        </w:rPr>
        <w:t>(15)  《中华人民共和国放射性污染防治法》(2003.1</w:t>
      </w:r>
      <w:r>
        <w:rPr>
          <w:rFonts w:ascii="宋体" w:hAnsi="宋体" w:eastAsia="宋体" w:cs="宋体"/>
          <w:spacing w:val="3"/>
          <w:sz w:val="24"/>
          <w:szCs w:val="24"/>
        </w:rPr>
        <w:t>0);</w:t>
      </w:r>
    </w:p>
    <w:p w14:paraId="7130C94B">
      <w:pPr>
        <w:spacing w:before="175" w:line="219" w:lineRule="auto"/>
        <w:ind w:left="530"/>
        <w:rPr>
          <w:rFonts w:ascii="宋体" w:hAnsi="宋体" w:eastAsia="宋体" w:cs="宋体"/>
          <w:sz w:val="24"/>
          <w:szCs w:val="24"/>
        </w:rPr>
      </w:pPr>
      <w:r>
        <w:rPr>
          <w:rFonts w:ascii="宋体" w:hAnsi="宋体" w:eastAsia="宋体" w:cs="宋体"/>
          <w:spacing w:val="9"/>
          <w:sz w:val="24"/>
          <w:szCs w:val="24"/>
        </w:rPr>
        <w:t>(16)《放射性同位素与射线装置放射防护条例》(2014.7)</w:t>
      </w:r>
    </w:p>
    <w:p w14:paraId="259329BD">
      <w:pPr>
        <w:spacing w:before="175" w:line="219" w:lineRule="auto"/>
        <w:ind w:left="530"/>
        <w:rPr>
          <w:rFonts w:ascii="宋体" w:hAnsi="宋体" w:eastAsia="宋体" w:cs="宋体"/>
          <w:sz w:val="24"/>
          <w:szCs w:val="24"/>
        </w:rPr>
      </w:pPr>
      <w:r>
        <w:rPr>
          <w:rFonts w:ascii="宋体" w:hAnsi="宋体" w:eastAsia="宋体" w:cs="宋体"/>
          <w:spacing w:val="2"/>
          <w:sz w:val="24"/>
          <w:szCs w:val="24"/>
        </w:rPr>
        <w:t>(17)  《畜禽规模养殖污染防治条例》(2014.1)</w:t>
      </w:r>
    </w:p>
    <w:p w14:paraId="02E4435D">
      <w:pPr>
        <w:spacing w:before="175" w:line="219" w:lineRule="auto"/>
        <w:ind w:left="530"/>
        <w:rPr>
          <w:rFonts w:ascii="宋体" w:hAnsi="宋体" w:eastAsia="宋体" w:cs="宋体"/>
          <w:sz w:val="24"/>
          <w:szCs w:val="24"/>
        </w:rPr>
      </w:pPr>
      <w:r>
        <w:rPr>
          <w:rFonts w:ascii="宋体" w:hAnsi="宋体" w:eastAsia="宋体" w:cs="宋体"/>
          <w:spacing w:val="2"/>
          <w:sz w:val="24"/>
          <w:szCs w:val="24"/>
        </w:rPr>
        <w:t xml:space="preserve">(18)  </w:t>
      </w:r>
      <w:r>
        <w:rPr>
          <w:rFonts w:ascii="宋体" w:hAnsi="宋体" w:eastAsia="宋体" w:cs="宋体"/>
          <w:color w:val="606070"/>
          <w:spacing w:val="2"/>
          <w:sz w:val="24"/>
          <w:szCs w:val="24"/>
        </w:rPr>
        <w:t>《国家突发公共事件总体应急预案》(2006.1)</w:t>
      </w:r>
    </w:p>
    <w:p w14:paraId="16363CDA">
      <w:pPr>
        <w:spacing w:before="185" w:line="219" w:lineRule="auto"/>
        <w:ind w:left="530"/>
        <w:rPr>
          <w:rFonts w:ascii="宋体" w:hAnsi="宋体" w:eastAsia="宋体" w:cs="宋体"/>
          <w:sz w:val="24"/>
          <w:szCs w:val="24"/>
        </w:rPr>
      </w:pPr>
      <w:r>
        <w:rPr>
          <w:rFonts w:ascii="宋体" w:hAnsi="宋体" w:eastAsia="宋体" w:cs="宋体"/>
          <w:spacing w:val="11"/>
          <w:sz w:val="24"/>
          <w:szCs w:val="24"/>
        </w:rPr>
        <w:t>(19)《国家突发环境事件应急预案》(2014.12)</w:t>
      </w:r>
    </w:p>
    <w:p w14:paraId="27A8DC7A">
      <w:pPr>
        <w:spacing w:before="173" w:line="218" w:lineRule="auto"/>
        <w:ind w:left="530"/>
        <w:rPr>
          <w:rFonts w:ascii="宋体" w:hAnsi="宋体" w:eastAsia="宋体" w:cs="宋体"/>
          <w:sz w:val="24"/>
          <w:szCs w:val="24"/>
        </w:rPr>
      </w:pPr>
      <w:r>
        <w:rPr>
          <w:rFonts w:ascii="宋体" w:hAnsi="宋体" w:eastAsia="宋体" w:cs="宋体"/>
          <w:sz w:val="24"/>
          <w:szCs w:val="24"/>
        </w:rPr>
        <w:t>(20)  《突发环境事件信息报告办法》(2011</w:t>
      </w:r>
      <w:r>
        <w:rPr>
          <w:rFonts w:ascii="宋体" w:hAnsi="宋体" w:eastAsia="宋体" w:cs="宋体"/>
          <w:spacing w:val="-67"/>
          <w:sz w:val="24"/>
          <w:szCs w:val="24"/>
        </w:rPr>
        <w:t xml:space="preserve"> </w:t>
      </w:r>
      <w:r>
        <w:rPr>
          <w:rFonts w:ascii="宋体" w:hAnsi="宋体" w:eastAsia="宋体" w:cs="宋体"/>
          <w:sz w:val="24"/>
          <w:szCs w:val="24"/>
        </w:rPr>
        <w:t>.5)</w:t>
      </w:r>
    </w:p>
    <w:p w14:paraId="64DF4163">
      <w:pPr>
        <w:spacing w:before="178" w:line="219" w:lineRule="auto"/>
        <w:ind w:left="530"/>
        <w:rPr>
          <w:rFonts w:ascii="宋体" w:hAnsi="宋体" w:eastAsia="宋体" w:cs="宋体"/>
          <w:sz w:val="24"/>
          <w:szCs w:val="24"/>
        </w:rPr>
      </w:pPr>
      <w:r>
        <w:rPr>
          <w:rFonts w:ascii="宋体" w:hAnsi="宋体" w:eastAsia="宋体" w:cs="宋体"/>
          <w:spacing w:val="2"/>
          <w:sz w:val="24"/>
          <w:szCs w:val="24"/>
        </w:rPr>
        <w:t>(21)  《突发环境事件调查处理办法》(2015.3)</w:t>
      </w:r>
    </w:p>
    <w:p w14:paraId="33FD5A22">
      <w:pPr>
        <w:spacing w:before="176" w:line="219" w:lineRule="auto"/>
        <w:ind w:left="530"/>
        <w:rPr>
          <w:rFonts w:ascii="宋体" w:hAnsi="宋体" w:eastAsia="宋体" w:cs="宋体"/>
          <w:sz w:val="24"/>
          <w:szCs w:val="24"/>
        </w:rPr>
      </w:pPr>
      <w:r>
        <w:rPr>
          <w:rFonts w:ascii="宋体" w:hAnsi="宋体" w:eastAsia="宋体" w:cs="宋体"/>
          <w:spacing w:val="12"/>
          <w:sz w:val="24"/>
          <w:szCs w:val="24"/>
        </w:rPr>
        <w:t>(22)《突发环境事件应急管理办法》(2015.6)</w:t>
      </w:r>
    </w:p>
    <w:p w14:paraId="3D99D963">
      <w:pPr>
        <w:spacing w:before="173" w:line="219" w:lineRule="auto"/>
        <w:ind w:left="530"/>
        <w:rPr>
          <w:rFonts w:ascii="宋体" w:hAnsi="宋体" w:eastAsia="宋体" w:cs="宋体"/>
          <w:sz w:val="24"/>
          <w:szCs w:val="24"/>
        </w:rPr>
      </w:pPr>
      <w:r>
        <w:rPr>
          <w:rFonts w:ascii="宋体" w:hAnsi="宋体" w:eastAsia="宋体" w:cs="宋体"/>
          <w:spacing w:val="12"/>
          <w:sz w:val="24"/>
          <w:szCs w:val="24"/>
        </w:rPr>
        <w:t>(23)《城市供水水质管理规定》(2007.5)</w:t>
      </w:r>
    </w:p>
    <w:p w14:paraId="3B00EBAD">
      <w:pPr>
        <w:spacing w:before="177" w:line="219" w:lineRule="auto"/>
        <w:ind w:left="530"/>
        <w:rPr>
          <w:rFonts w:ascii="宋体" w:hAnsi="宋体" w:eastAsia="宋体" w:cs="宋体"/>
          <w:sz w:val="24"/>
          <w:szCs w:val="24"/>
        </w:rPr>
      </w:pPr>
      <w:r>
        <w:rPr>
          <w:rFonts w:ascii="宋体" w:hAnsi="宋体" w:eastAsia="宋体" w:cs="宋体"/>
          <w:spacing w:val="11"/>
          <w:sz w:val="24"/>
          <w:szCs w:val="24"/>
        </w:rPr>
        <w:t>(24)《生活饮用水卫生监督管理办法》(19</w:t>
      </w:r>
      <w:r>
        <w:rPr>
          <w:rFonts w:ascii="宋体" w:hAnsi="宋体" w:eastAsia="宋体" w:cs="宋体"/>
          <w:spacing w:val="10"/>
          <w:sz w:val="24"/>
          <w:szCs w:val="24"/>
        </w:rPr>
        <w:t>96.7)</w:t>
      </w:r>
    </w:p>
    <w:p w14:paraId="1E2561CB">
      <w:pPr>
        <w:spacing w:before="176" w:line="219" w:lineRule="auto"/>
        <w:ind w:left="530"/>
        <w:rPr>
          <w:rFonts w:ascii="宋体" w:hAnsi="宋体" w:eastAsia="宋体" w:cs="宋体"/>
          <w:sz w:val="24"/>
          <w:szCs w:val="24"/>
        </w:rPr>
      </w:pPr>
      <w:r>
        <w:rPr>
          <w:rFonts w:ascii="宋体" w:hAnsi="宋体" w:eastAsia="宋体" w:cs="宋体"/>
          <w:spacing w:val="2"/>
          <w:sz w:val="24"/>
          <w:szCs w:val="24"/>
        </w:rPr>
        <w:t>(25)</w:t>
      </w:r>
      <w:r>
        <w:rPr>
          <w:rFonts w:ascii="宋体" w:hAnsi="宋体" w:eastAsia="宋体" w:cs="宋体"/>
          <w:spacing w:val="1"/>
          <w:sz w:val="24"/>
          <w:szCs w:val="24"/>
        </w:rPr>
        <w:t xml:space="preserve">  </w:t>
      </w:r>
      <w:r>
        <w:rPr>
          <w:rFonts w:ascii="宋体" w:hAnsi="宋体" w:eastAsia="宋体" w:cs="宋体"/>
          <w:spacing w:val="2"/>
          <w:sz w:val="24"/>
          <w:szCs w:val="24"/>
        </w:rPr>
        <w:t>《国家安全生产事故灾难应急预案》(2006.1)</w:t>
      </w:r>
    </w:p>
    <w:p w14:paraId="615533A6">
      <w:pPr>
        <w:spacing w:before="185" w:line="219" w:lineRule="auto"/>
        <w:ind w:left="530"/>
        <w:rPr>
          <w:rFonts w:ascii="宋体" w:hAnsi="宋体" w:eastAsia="宋体" w:cs="宋体"/>
          <w:sz w:val="24"/>
          <w:szCs w:val="24"/>
        </w:rPr>
      </w:pPr>
      <w:r>
        <w:rPr>
          <w:rFonts w:ascii="宋体" w:hAnsi="宋体" w:eastAsia="宋体" w:cs="宋体"/>
          <w:spacing w:val="10"/>
          <w:sz w:val="24"/>
          <w:szCs w:val="24"/>
        </w:rPr>
        <w:t>(26)《突发环境事件应急监测技术规范》(2011.1)</w:t>
      </w:r>
    </w:p>
    <w:p w14:paraId="0100322B">
      <w:pPr>
        <w:spacing w:before="228" w:line="212" w:lineRule="auto"/>
        <w:ind w:left="530"/>
        <w:rPr>
          <w:rFonts w:ascii="Times New Roman" w:hAnsi="Times New Roman" w:eastAsia="Times New Roman" w:cs="Times New Roman"/>
          <w:sz w:val="24"/>
          <w:szCs w:val="24"/>
        </w:rPr>
      </w:pPr>
      <w:r>
        <w:rPr>
          <w:rFonts w:ascii="宋体" w:hAnsi="宋体" w:eastAsia="宋体" w:cs="宋体"/>
          <w:spacing w:val="-3"/>
          <w:sz w:val="24"/>
          <w:szCs w:val="24"/>
        </w:rPr>
        <w:t>(27)《 集中式饮用水水源地环境保护状况评估技术规范》</w:t>
      </w:r>
      <w:r>
        <w:rPr>
          <w:rFonts w:ascii="宋体" w:hAnsi="宋体" w:eastAsia="宋体" w:cs="宋体"/>
          <w:spacing w:val="-57"/>
          <w:sz w:val="24"/>
          <w:szCs w:val="24"/>
        </w:rPr>
        <w:t xml:space="preserve"> </w:t>
      </w:r>
      <w:r>
        <w:rPr>
          <w:rFonts w:ascii="宋体" w:hAnsi="宋体" w:eastAsia="宋体" w:cs="宋体"/>
          <w:spacing w:val="-3"/>
          <w:sz w:val="24"/>
          <w:szCs w:val="24"/>
        </w:rPr>
        <w:t>(</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HJ774—2015)</w:t>
      </w:r>
    </w:p>
    <w:p w14:paraId="3051E60B">
      <w:pPr>
        <w:spacing w:before="184" w:line="212" w:lineRule="auto"/>
        <w:ind w:left="530"/>
        <w:rPr>
          <w:rFonts w:ascii="Times New Roman" w:hAnsi="Times New Roman" w:eastAsia="Times New Roman" w:cs="Times New Roman"/>
          <w:sz w:val="24"/>
          <w:szCs w:val="24"/>
        </w:rPr>
      </w:pPr>
      <w:r>
        <w:rPr>
          <w:rFonts w:ascii="宋体" w:hAnsi="宋体" w:eastAsia="宋体" w:cs="宋体"/>
          <w:spacing w:val="-7"/>
          <w:sz w:val="24"/>
          <w:szCs w:val="24"/>
        </w:rPr>
        <w:t>(28)《集中式饮用水水源地规范化建设环境保护技术要求》(</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HJ773—2015)</w:t>
      </w:r>
    </w:p>
    <w:p w14:paraId="73134009">
      <w:pPr>
        <w:spacing w:before="212" w:line="219" w:lineRule="auto"/>
        <w:ind w:left="530"/>
        <w:rPr>
          <w:rFonts w:ascii="宋体" w:hAnsi="宋体" w:eastAsia="宋体" w:cs="宋体"/>
          <w:sz w:val="24"/>
          <w:szCs w:val="24"/>
        </w:rPr>
      </w:pPr>
      <w:r>
        <w:rPr>
          <w:rFonts w:ascii="宋体" w:hAnsi="宋体" w:eastAsia="宋体" w:cs="宋体"/>
          <w:spacing w:val="10"/>
          <w:sz w:val="24"/>
          <w:szCs w:val="24"/>
        </w:rPr>
        <w:t>(29)《突发环境事件应急预案管理暂行办法》(2010.9)</w:t>
      </w:r>
    </w:p>
    <w:p w14:paraId="07A543C8">
      <w:pPr>
        <w:spacing w:before="173" w:line="218" w:lineRule="auto"/>
        <w:ind w:left="530"/>
        <w:rPr>
          <w:rFonts w:ascii="宋体" w:hAnsi="宋体" w:eastAsia="宋体" w:cs="宋体"/>
          <w:sz w:val="24"/>
          <w:szCs w:val="24"/>
        </w:rPr>
      </w:pPr>
      <w:r>
        <w:rPr>
          <w:rFonts w:ascii="宋体" w:hAnsi="宋体" w:eastAsia="宋体" w:cs="宋体"/>
          <w:spacing w:val="9"/>
          <w:sz w:val="24"/>
          <w:szCs w:val="24"/>
        </w:rPr>
        <w:t>(30)《行政区域突发环境事件风险评估推荐方法》(2018.1)</w:t>
      </w:r>
    </w:p>
    <w:p w14:paraId="0D8D1AF4">
      <w:pPr>
        <w:spacing w:before="179" w:line="219" w:lineRule="auto"/>
        <w:ind w:left="530"/>
        <w:rPr>
          <w:rFonts w:ascii="宋体" w:hAnsi="宋体" w:eastAsia="宋体" w:cs="宋体"/>
          <w:sz w:val="24"/>
          <w:szCs w:val="24"/>
        </w:rPr>
      </w:pPr>
      <w:r>
        <w:rPr>
          <w:rFonts w:ascii="宋体" w:hAnsi="宋体" w:eastAsia="宋体" w:cs="宋体"/>
          <w:spacing w:val="18"/>
          <w:sz w:val="24"/>
          <w:szCs w:val="24"/>
        </w:rPr>
        <w:t>(31)《集中式饮用水水源环境保护指南(试行)》(2012.3);</w:t>
      </w:r>
    </w:p>
    <w:p w14:paraId="0C6BDA7A">
      <w:pPr>
        <w:spacing w:before="173" w:line="218" w:lineRule="auto"/>
        <w:ind w:left="530"/>
        <w:rPr>
          <w:rFonts w:ascii="宋体" w:hAnsi="宋体" w:eastAsia="宋体" w:cs="宋体"/>
          <w:sz w:val="24"/>
          <w:szCs w:val="24"/>
        </w:rPr>
      </w:pPr>
      <w:r>
        <w:rPr>
          <w:rFonts w:ascii="宋体" w:hAnsi="宋体" w:eastAsia="宋体" w:cs="宋体"/>
          <w:spacing w:val="19"/>
          <w:sz w:val="24"/>
          <w:szCs w:val="24"/>
        </w:rPr>
        <w:t>(32)《企业突发环境事件风险评估指南(试行)》(2014);</w:t>
      </w:r>
    </w:p>
    <w:p w14:paraId="5C85FBB7">
      <w:pPr>
        <w:spacing w:before="218" w:line="275" w:lineRule="auto"/>
        <w:ind w:left="120" w:right="138" w:firstLine="410"/>
        <w:rPr>
          <w:rFonts w:ascii="Times New Roman" w:hAnsi="Times New Roman" w:eastAsia="Times New Roman" w:cs="Times New Roman"/>
          <w:sz w:val="25"/>
          <w:szCs w:val="25"/>
        </w:rPr>
      </w:pPr>
      <w:r>
        <w:rPr>
          <w:rFonts w:ascii="宋体" w:hAnsi="宋体" w:eastAsia="宋体" w:cs="宋体"/>
          <w:spacing w:val="6"/>
          <w:sz w:val="25"/>
          <w:szCs w:val="25"/>
        </w:rPr>
        <w:t>(33)  《企业事业单位突发环境事件应急预案备</w:t>
      </w:r>
      <w:r>
        <w:rPr>
          <w:rFonts w:ascii="宋体" w:hAnsi="宋体" w:eastAsia="宋体" w:cs="宋体"/>
          <w:spacing w:val="5"/>
          <w:sz w:val="25"/>
          <w:szCs w:val="25"/>
        </w:rPr>
        <w:t>案管理办法(试行)》</w:t>
      </w:r>
      <w:r>
        <w:rPr>
          <w:rFonts w:ascii="宋体" w:hAnsi="宋体" w:eastAsia="宋体" w:cs="宋体"/>
          <w:sz w:val="25"/>
          <w:szCs w:val="25"/>
        </w:rPr>
        <w:t xml:space="preserve"> </w:t>
      </w:r>
      <w:r>
        <w:rPr>
          <w:rFonts w:ascii="Times New Roman" w:hAnsi="Times New Roman" w:eastAsia="Times New Roman" w:cs="Times New Roman"/>
          <w:spacing w:val="-2"/>
          <w:sz w:val="25"/>
          <w:szCs w:val="25"/>
        </w:rPr>
        <w:t>(2015.1);</w:t>
      </w:r>
    </w:p>
    <w:p w14:paraId="6E79EC2A">
      <w:pPr>
        <w:spacing w:before="229" w:line="219" w:lineRule="auto"/>
        <w:ind w:left="530"/>
        <w:rPr>
          <w:rFonts w:ascii="宋体" w:hAnsi="宋体" w:eastAsia="宋体" w:cs="宋体"/>
          <w:sz w:val="24"/>
          <w:szCs w:val="24"/>
        </w:rPr>
      </w:pPr>
      <w:r>
        <w:rPr>
          <w:rFonts w:ascii="宋体" w:hAnsi="宋体" w:eastAsia="宋体" w:cs="宋体"/>
          <w:spacing w:val="3"/>
          <w:sz w:val="24"/>
          <w:szCs w:val="24"/>
        </w:rPr>
        <w:t>(34)  《企业突发环境事件风险分级办</w:t>
      </w:r>
      <w:r>
        <w:rPr>
          <w:rFonts w:ascii="宋体" w:hAnsi="宋体" w:eastAsia="宋体" w:cs="宋体"/>
          <w:spacing w:val="2"/>
          <w:sz w:val="24"/>
          <w:szCs w:val="24"/>
        </w:rPr>
        <w:t>法》(2018);</w:t>
      </w:r>
    </w:p>
    <w:p w14:paraId="6892A771">
      <w:pPr>
        <w:spacing w:before="168" w:line="212" w:lineRule="auto"/>
        <w:ind w:left="530"/>
        <w:rPr>
          <w:rFonts w:ascii="Times New Roman" w:hAnsi="Times New Roman" w:eastAsia="Times New Roman" w:cs="Times New Roman"/>
          <w:sz w:val="24"/>
          <w:szCs w:val="24"/>
        </w:rPr>
      </w:pPr>
      <w:r>
        <w:rPr>
          <w:rFonts w:ascii="宋体" w:hAnsi="宋体" w:eastAsia="宋体" w:cs="宋体"/>
          <w:spacing w:val="-3"/>
          <w:sz w:val="24"/>
          <w:szCs w:val="24"/>
        </w:rPr>
        <w:t>(35) 《地下水环境监测技术规范》 (</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HJ/T164—2004);</w:t>
      </w:r>
    </w:p>
    <w:p w14:paraId="540A9246">
      <w:pPr>
        <w:spacing w:before="204" w:line="212" w:lineRule="auto"/>
        <w:ind w:left="530"/>
        <w:rPr>
          <w:rFonts w:ascii="Times New Roman" w:hAnsi="Times New Roman" w:eastAsia="Times New Roman" w:cs="Times New Roman"/>
          <w:sz w:val="24"/>
          <w:szCs w:val="24"/>
        </w:rPr>
      </w:pPr>
      <w:r>
        <w:rPr>
          <w:rFonts w:ascii="宋体" w:hAnsi="宋体" w:eastAsia="宋体" w:cs="宋体"/>
          <w:spacing w:val="-2"/>
          <w:sz w:val="24"/>
          <w:szCs w:val="24"/>
        </w:rPr>
        <w:t>(36)《水质采样技术规范》</w:t>
      </w:r>
      <w:r>
        <w:rPr>
          <w:rFonts w:ascii="宋体" w:hAnsi="宋体" w:eastAsia="宋体" w:cs="宋体"/>
          <w:spacing w:val="92"/>
          <w:sz w:val="24"/>
          <w:szCs w:val="24"/>
        </w:rPr>
        <w:t xml:space="preserve"> </w:t>
      </w:r>
      <w:r>
        <w:rPr>
          <w:rFonts w:ascii="宋体" w:hAnsi="宋体" w:eastAsia="宋体" w:cs="宋体"/>
          <w:spacing w:val="-2"/>
          <w:sz w:val="24"/>
          <w:szCs w:val="24"/>
        </w:rPr>
        <w:t>(</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SL187—96);</w:t>
      </w:r>
    </w:p>
    <w:p w14:paraId="09ED42ED">
      <w:pPr>
        <w:spacing w:before="185" w:line="212" w:lineRule="auto"/>
        <w:ind w:left="530"/>
        <w:rPr>
          <w:rFonts w:ascii="宋体" w:hAnsi="宋体" w:eastAsia="宋体" w:cs="宋体"/>
          <w:sz w:val="24"/>
          <w:szCs w:val="24"/>
        </w:rPr>
      </w:pPr>
      <w:r>
        <w:rPr>
          <w:rFonts w:ascii="宋体" w:hAnsi="宋体" w:eastAsia="宋体" w:cs="宋体"/>
          <w:spacing w:val="-2"/>
          <w:sz w:val="24"/>
          <w:szCs w:val="24"/>
        </w:rPr>
        <w:t>(37)《地表水和污水监测技术规范》</w:t>
      </w:r>
      <w:r>
        <w:rPr>
          <w:rFonts w:ascii="宋体" w:hAnsi="宋体" w:eastAsia="宋体" w:cs="宋体"/>
          <w:spacing w:val="76"/>
          <w:sz w:val="24"/>
          <w:szCs w:val="24"/>
        </w:rPr>
        <w:t xml:space="preserve"> </w:t>
      </w:r>
      <w:r>
        <w:rPr>
          <w:rFonts w:ascii="宋体" w:hAnsi="宋体" w:eastAsia="宋体" w:cs="宋体"/>
          <w:spacing w:val="-2"/>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HJ/T91—2002)</w:t>
      </w:r>
      <w:r>
        <w:rPr>
          <w:rFonts w:ascii="宋体" w:hAnsi="宋体" w:eastAsia="宋体" w:cs="宋体"/>
          <w:spacing w:val="-2"/>
          <w:sz w:val="24"/>
          <w:szCs w:val="24"/>
        </w:rPr>
        <w:t>。</w:t>
      </w:r>
    </w:p>
    <w:p w14:paraId="09AADF88">
      <w:pPr>
        <w:spacing w:before="209" w:line="219" w:lineRule="auto"/>
        <w:ind w:left="10"/>
        <w:outlineLvl w:val="2"/>
        <w:rPr>
          <w:rFonts w:ascii="宋体" w:hAnsi="宋体" w:eastAsia="宋体" w:cs="宋体"/>
          <w:sz w:val="26"/>
          <w:szCs w:val="26"/>
        </w:rPr>
      </w:pPr>
      <w:bookmarkStart w:id="7" w:name="bookmark5"/>
      <w:bookmarkEnd w:id="7"/>
      <w:r>
        <w:rPr>
          <w:rFonts w:ascii="宋体" w:hAnsi="宋体" w:eastAsia="宋体" w:cs="宋体"/>
          <w:spacing w:val="-9"/>
          <w:sz w:val="26"/>
          <w:szCs w:val="26"/>
        </w:rPr>
        <w:t>1.</w:t>
      </w:r>
      <w:r>
        <w:rPr>
          <w:rFonts w:ascii="宋体" w:hAnsi="宋体" w:eastAsia="宋体" w:cs="宋体"/>
          <w:b/>
          <w:bCs/>
          <w:spacing w:val="-9"/>
          <w:sz w:val="26"/>
          <w:szCs w:val="26"/>
        </w:rPr>
        <w:t>3.2政策文件</w:t>
      </w:r>
    </w:p>
    <w:p w14:paraId="34762D67">
      <w:pPr>
        <w:spacing w:before="174" w:line="219" w:lineRule="auto"/>
        <w:ind w:left="530"/>
        <w:rPr>
          <w:rFonts w:ascii="宋体" w:hAnsi="宋体" w:eastAsia="宋体" w:cs="宋体"/>
          <w:sz w:val="24"/>
          <w:szCs w:val="24"/>
        </w:rPr>
      </w:pPr>
      <w:r>
        <w:rPr>
          <w:rFonts w:ascii="宋体" w:hAnsi="宋体" w:eastAsia="宋体" w:cs="宋体"/>
          <w:color w:val="606070"/>
          <w:spacing w:val="7"/>
          <w:sz w:val="24"/>
          <w:szCs w:val="24"/>
        </w:rPr>
        <w:t>(1)《国务院关于印发水污染防治行动计划的通知》(国发(2015)17号);</w:t>
      </w:r>
    </w:p>
    <w:p w14:paraId="3BB841AC">
      <w:pPr>
        <w:spacing w:before="185" w:line="292" w:lineRule="auto"/>
        <w:ind w:right="109" w:firstLine="530"/>
        <w:rPr>
          <w:rFonts w:ascii="宋体" w:hAnsi="宋体" w:eastAsia="宋体" w:cs="宋体"/>
          <w:sz w:val="24"/>
          <w:szCs w:val="24"/>
        </w:rPr>
      </w:pPr>
      <w:r>
        <w:rPr>
          <w:rFonts w:ascii="宋体" w:hAnsi="宋体" w:eastAsia="宋体" w:cs="宋体"/>
          <w:spacing w:val="-5"/>
          <w:sz w:val="24"/>
          <w:szCs w:val="24"/>
        </w:rPr>
        <w:t>(2)《包头市集中式饮用水水源地保护区环境整治方案》(包府办发[2018</w:t>
      </w:r>
      <w:r>
        <w:rPr>
          <w:rFonts w:ascii="宋体" w:hAnsi="宋体" w:eastAsia="宋体" w:cs="宋体"/>
          <w:spacing w:val="-6"/>
          <w:sz w:val="24"/>
          <w:szCs w:val="24"/>
        </w:rPr>
        <w:t>]51</w:t>
      </w:r>
      <w:r>
        <w:rPr>
          <w:rFonts w:ascii="宋体" w:hAnsi="宋体" w:eastAsia="宋体" w:cs="宋体"/>
          <w:sz w:val="24"/>
          <w:szCs w:val="24"/>
        </w:rPr>
        <w:t xml:space="preserve"> </w:t>
      </w:r>
      <w:r>
        <w:rPr>
          <w:rFonts w:ascii="宋体" w:hAnsi="宋体" w:eastAsia="宋体" w:cs="宋体"/>
          <w:spacing w:val="-8"/>
          <w:sz w:val="24"/>
          <w:szCs w:val="24"/>
        </w:rPr>
        <w:t>号</w:t>
      </w:r>
      <w:r>
        <w:rPr>
          <w:rFonts w:ascii="宋体" w:hAnsi="宋体" w:eastAsia="宋体" w:cs="宋体"/>
          <w:spacing w:val="-41"/>
          <w:sz w:val="24"/>
          <w:szCs w:val="24"/>
        </w:rPr>
        <w:t xml:space="preserve"> </w:t>
      </w:r>
      <w:r>
        <w:rPr>
          <w:rFonts w:ascii="宋体" w:hAnsi="宋体" w:eastAsia="宋体" w:cs="宋体"/>
          <w:spacing w:val="-8"/>
          <w:sz w:val="24"/>
          <w:szCs w:val="24"/>
        </w:rPr>
        <w:t>) ;</w:t>
      </w:r>
    </w:p>
    <w:p w14:paraId="16FCD48B">
      <w:pPr>
        <w:spacing w:before="181" w:line="219" w:lineRule="auto"/>
        <w:ind w:left="530"/>
        <w:rPr>
          <w:rFonts w:ascii="宋体" w:hAnsi="宋体" w:eastAsia="宋体" w:cs="宋体"/>
          <w:sz w:val="24"/>
          <w:szCs w:val="24"/>
        </w:rPr>
      </w:pPr>
      <w:r>
        <w:rPr>
          <w:rFonts w:ascii="宋体" w:hAnsi="宋体" w:eastAsia="宋体" w:cs="宋体"/>
          <w:spacing w:val="4"/>
          <w:sz w:val="24"/>
          <w:szCs w:val="24"/>
        </w:rPr>
        <w:t>(3)生态环境部《关于答复全国集中式饮用水水源地环境保护专项行动有</w:t>
      </w:r>
    </w:p>
    <w:p w14:paraId="460D990F">
      <w:pPr>
        <w:spacing w:line="219" w:lineRule="auto"/>
        <w:rPr>
          <w:rFonts w:ascii="宋体" w:hAnsi="宋体" w:eastAsia="宋体" w:cs="宋体"/>
          <w:sz w:val="24"/>
          <w:szCs w:val="24"/>
        </w:rPr>
        <w:sectPr>
          <w:footerReference r:id="rId6" w:type="default"/>
          <w:pgSz w:w="11910" w:h="16850"/>
          <w:pgMar w:top="1432" w:right="1786" w:bottom="1329" w:left="1759" w:header="0" w:footer="1188" w:gutter="0"/>
          <w:cols w:space="720" w:num="1"/>
        </w:sectPr>
      </w:pPr>
    </w:p>
    <w:p w14:paraId="2ECE16A0">
      <w:pPr>
        <w:spacing w:before="48" w:line="219" w:lineRule="auto"/>
        <w:rPr>
          <w:rFonts w:ascii="宋体" w:hAnsi="宋体" w:eastAsia="宋体" w:cs="宋体"/>
          <w:sz w:val="24"/>
          <w:szCs w:val="24"/>
        </w:rPr>
      </w:pPr>
      <w:bookmarkStart w:id="8" w:name="bookmark71"/>
      <w:bookmarkEnd w:id="8"/>
      <w:r>
        <w:rPr>
          <w:rFonts w:ascii="宋体" w:hAnsi="宋体" w:eastAsia="宋体" w:cs="宋体"/>
          <w:spacing w:val="14"/>
          <w:sz w:val="24"/>
          <w:szCs w:val="24"/>
        </w:rPr>
        <w:t>关问题的函》((环办环监函)〔2018〕767号);</w:t>
      </w:r>
    </w:p>
    <w:p w14:paraId="70152AAF">
      <w:pPr>
        <w:spacing w:before="174" w:line="286" w:lineRule="auto"/>
        <w:ind w:left="140" w:right="73" w:firstLine="449"/>
        <w:rPr>
          <w:rFonts w:ascii="宋体" w:hAnsi="宋体" w:eastAsia="宋体" w:cs="宋体"/>
          <w:sz w:val="24"/>
          <w:szCs w:val="24"/>
        </w:rPr>
      </w:pPr>
      <w:r>
        <w:rPr>
          <w:rFonts w:ascii="宋体" w:hAnsi="宋体" w:eastAsia="宋体" w:cs="宋体"/>
          <w:spacing w:val="2"/>
          <w:sz w:val="24"/>
          <w:szCs w:val="24"/>
        </w:rPr>
        <w:t>(4)《石拐区人民政府关于调整石拐区集中式饮用水水源地保护区的请示》</w:t>
      </w:r>
      <w:r>
        <w:rPr>
          <w:rFonts w:ascii="宋体" w:hAnsi="宋体" w:eastAsia="宋体" w:cs="宋体"/>
          <w:spacing w:val="11"/>
          <w:sz w:val="24"/>
          <w:szCs w:val="24"/>
        </w:rPr>
        <w:t xml:space="preserve"> </w:t>
      </w:r>
      <w:r>
        <w:rPr>
          <w:rFonts w:ascii="宋体" w:hAnsi="宋体" w:eastAsia="宋体" w:cs="宋体"/>
          <w:spacing w:val="18"/>
          <w:sz w:val="24"/>
          <w:szCs w:val="24"/>
        </w:rPr>
        <w:t>(石府文字〔2018〕5号);</w:t>
      </w:r>
    </w:p>
    <w:p w14:paraId="3772F016">
      <w:pPr>
        <w:spacing w:before="196" w:line="276" w:lineRule="auto"/>
        <w:ind w:right="208" w:firstLine="590"/>
        <w:rPr>
          <w:rFonts w:ascii="宋体" w:hAnsi="宋体" w:eastAsia="宋体" w:cs="宋体"/>
          <w:sz w:val="25"/>
          <w:szCs w:val="25"/>
        </w:rPr>
      </w:pPr>
      <w:r>
        <w:rPr>
          <w:rFonts w:ascii="宋体" w:hAnsi="宋体" w:eastAsia="宋体" w:cs="宋体"/>
          <w:spacing w:val="-4"/>
          <w:sz w:val="25"/>
          <w:szCs w:val="25"/>
        </w:rPr>
        <w:t>(5) 《石拐区住房和城乡建设局关于石拐区集中式饮用水源地保护区2号</w:t>
      </w:r>
      <w:r>
        <w:rPr>
          <w:rFonts w:ascii="宋体" w:hAnsi="宋体" w:eastAsia="宋体" w:cs="宋体"/>
          <w:spacing w:val="5"/>
          <w:sz w:val="25"/>
          <w:szCs w:val="25"/>
        </w:rPr>
        <w:t xml:space="preserve"> </w:t>
      </w:r>
      <w:r>
        <w:rPr>
          <w:rFonts w:ascii="宋体" w:hAnsi="宋体" w:eastAsia="宋体" w:cs="宋体"/>
          <w:spacing w:val="-9"/>
          <w:sz w:val="25"/>
          <w:szCs w:val="25"/>
        </w:rPr>
        <w:t>水井不做备用、应急水井的情况说明》;</w:t>
      </w:r>
    </w:p>
    <w:p w14:paraId="7F8CC35B">
      <w:pPr>
        <w:spacing w:before="201" w:line="277" w:lineRule="auto"/>
        <w:ind w:right="212" w:firstLine="590"/>
        <w:rPr>
          <w:rFonts w:ascii="宋体" w:hAnsi="宋体" w:eastAsia="宋体" w:cs="宋体"/>
          <w:sz w:val="24"/>
          <w:szCs w:val="24"/>
        </w:rPr>
      </w:pPr>
      <w:r>
        <w:rPr>
          <w:rFonts w:ascii="宋体" w:hAnsi="宋体" w:eastAsia="宋体" w:cs="宋体"/>
          <w:spacing w:val="5"/>
          <w:sz w:val="24"/>
          <w:szCs w:val="24"/>
        </w:rPr>
        <w:t>(6)《石拐区农牧局关于石拐区缸房地饮用水源井是否存在防汛隐患的复</w:t>
      </w:r>
      <w:r>
        <w:rPr>
          <w:rFonts w:ascii="宋体" w:hAnsi="宋体" w:eastAsia="宋体" w:cs="宋体"/>
          <w:spacing w:val="15"/>
          <w:sz w:val="24"/>
          <w:szCs w:val="24"/>
        </w:rPr>
        <w:t xml:space="preserve"> </w:t>
      </w:r>
      <w:r>
        <w:rPr>
          <w:rFonts w:ascii="宋体" w:hAnsi="宋体" w:eastAsia="宋体" w:cs="宋体"/>
          <w:spacing w:val="-7"/>
          <w:sz w:val="24"/>
          <w:szCs w:val="24"/>
        </w:rPr>
        <w:t>函》;</w:t>
      </w:r>
    </w:p>
    <w:p w14:paraId="7ECFA54D">
      <w:pPr>
        <w:spacing w:before="200" w:line="286" w:lineRule="auto"/>
        <w:ind w:right="211" w:firstLine="590"/>
        <w:rPr>
          <w:rFonts w:ascii="宋体" w:hAnsi="宋体" w:eastAsia="宋体" w:cs="宋体"/>
          <w:sz w:val="24"/>
          <w:szCs w:val="24"/>
        </w:rPr>
      </w:pPr>
      <w:r>
        <w:rPr>
          <w:rFonts w:ascii="宋体" w:hAnsi="宋体" w:eastAsia="宋体" w:cs="宋体"/>
          <w:spacing w:val="5"/>
          <w:sz w:val="24"/>
          <w:szCs w:val="24"/>
        </w:rPr>
        <w:t>(7)《包头市石拐区自然资源局关于确定拟划定的水源地保护区范围内是</w:t>
      </w:r>
      <w:r>
        <w:rPr>
          <w:rFonts w:ascii="宋体" w:hAnsi="宋体" w:eastAsia="宋体" w:cs="宋体"/>
          <w:spacing w:val="15"/>
          <w:sz w:val="24"/>
          <w:szCs w:val="24"/>
        </w:rPr>
        <w:t xml:space="preserve"> </w:t>
      </w:r>
      <w:r>
        <w:rPr>
          <w:rFonts w:ascii="宋体" w:hAnsi="宋体" w:eastAsia="宋体" w:cs="宋体"/>
          <w:spacing w:val="-3"/>
          <w:sz w:val="24"/>
          <w:szCs w:val="24"/>
        </w:rPr>
        <w:t>否存在采、探矿权的复函》。</w:t>
      </w:r>
    </w:p>
    <w:p w14:paraId="4EB38CE4">
      <w:pPr>
        <w:spacing w:before="169" w:line="220" w:lineRule="auto"/>
        <w:outlineLvl w:val="2"/>
        <w:rPr>
          <w:rFonts w:ascii="宋体" w:hAnsi="宋体" w:eastAsia="宋体" w:cs="宋体"/>
          <w:sz w:val="26"/>
          <w:szCs w:val="26"/>
        </w:rPr>
      </w:pPr>
      <w:bookmarkStart w:id="9" w:name="bookmark6"/>
      <w:bookmarkEnd w:id="9"/>
      <w:r>
        <w:rPr>
          <w:rFonts w:ascii="宋体" w:hAnsi="宋体" w:eastAsia="宋体" w:cs="宋体"/>
          <w:spacing w:val="-6"/>
          <w:sz w:val="26"/>
          <w:szCs w:val="26"/>
        </w:rPr>
        <w:t>1.3.3相关规划</w:t>
      </w:r>
    </w:p>
    <w:p w14:paraId="60FFA7F7">
      <w:pPr>
        <w:spacing w:before="196" w:line="218" w:lineRule="auto"/>
        <w:ind w:left="590"/>
        <w:rPr>
          <w:rFonts w:ascii="宋体" w:hAnsi="宋体" w:eastAsia="宋体" w:cs="宋体"/>
          <w:sz w:val="24"/>
          <w:szCs w:val="24"/>
        </w:rPr>
      </w:pPr>
      <w:r>
        <w:rPr>
          <w:rFonts w:ascii="宋体" w:hAnsi="宋体" w:eastAsia="宋体" w:cs="宋体"/>
          <w:spacing w:val="19"/>
          <w:sz w:val="24"/>
          <w:szCs w:val="24"/>
        </w:rPr>
        <w:t>(1)《包头市水环境功能区划技术报告》(2013年);</w:t>
      </w:r>
    </w:p>
    <w:p w14:paraId="00B1F1DA">
      <w:pPr>
        <w:spacing w:before="179" w:line="219" w:lineRule="auto"/>
        <w:ind w:left="590"/>
        <w:rPr>
          <w:rFonts w:ascii="宋体" w:hAnsi="宋体" w:eastAsia="宋体" w:cs="宋体"/>
          <w:sz w:val="24"/>
          <w:szCs w:val="24"/>
        </w:rPr>
      </w:pPr>
      <w:r>
        <w:rPr>
          <w:rFonts w:ascii="宋体" w:hAnsi="宋体" w:eastAsia="宋体" w:cs="宋体"/>
          <w:spacing w:val="7"/>
          <w:sz w:val="24"/>
          <w:szCs w:val="24"/>
        </w:rPr>
        <w:t>(2)《包头市“十三五”环境保护规划》;</w:t>
      </w:r>
    </w:p>
    <w:p w14:paraId="207E1C56">
      <w:pPr>
        <w:spacing w:before="175" w:line="219" w:lineRule="auto"/>
        <w:ind w:left="590"/>
        <w:rPr>
          <w:rFonts w:ascii="宋体" w:hAnsi="宋体" w:eastAsia="宋体" w:cs="宋体"/>
          <w:sz w:val="24"/>
          <w:szCs w:val="24"/>
        </w:rPr>
      </w:pPr>
      <w:r>
        <w:rPr>
          <w:rFonts w:ascii="宋体" w:hAnsi="宋体" w:eastAsia="宋体" w:cs="宋体"/>
          <w:spacing w:val="7"/>
          <w:sz w:val="24"/>
          <w:szCs w:val="24"/>
        </w:rPr>
        <w:t>(3)《全国饮用水水源地环境保护规划》;</w:t>
      </w:r>
    </w:p>
    <w:p w14:paraId="0C4D276C">
      <w:pPr>
        <w:spacing w:before="203" w:line="218" w:lineRule="auto"/>
        <w:ind w:left="590"/>
        <w:rPr>
          <w:rFonts w:ascii="宋体" w:hAnsi="宋体" w:eastAsia="宋体" w:cs="宋体"/>
          <w:sz w:val="24"/>
          <w:szCs w:val="24"/>
        </w:rPr>
      </w:pPr>
      <w:r>
        <w:rPr>
          <w:rFonts w:ascii="宋体" w:hAnsi="宋体" w:eastAsia="宋体" w:cs="宋体"/>
          <w:spacing w:val="21"/>
          <w:sz w:val="24"/>
          <w:szCs w:val="24"/>
        </w:rPr>
        <w:t>(4)《包头市环境综合功能区划研究技术报告》(2011年1</w:t>
      </w:r>
      <w:r>
        <w:rPr>
          <w:rFonts w:ascii="宋体" w:hAnsi="宋体" w:eastAsia="宋体" w:cs="宋体"/>
          <w:spacing w:val="20"/>
          <w:sz w:val="24"/>
          <w:szCs w:val="24"/>
        </w:rPr>
        <w:t>0月);</w:t>
      </w:r>
    </w:p>
    <w:p w14:paraId="4656FA84">
      <w:pPr>
        <w:spacing w:before="178" w:line="283" w:lineRule="auto"/>
        <w:ind w:right="211" w:firstLine="590"/>
        <w:rPr>
          <w:rFonts w:ascii="宋体" w:hAnsi="宋体" w:eastAsia="宋体" w:cs="宋体"/>
          <w:sz w:val="24"/>
          <w:szCs w:val="24"/>
        </w:rPr>
      </w:pPr>
      <w:r>
        <w:rPr>
          <w:rFonts w:ascii="宋体" w:hAnsi="宋体" w:eastAsia="宋体" w:cs="宋体"/>
          <w:spacing w:val="9"/>
          <w:sz w:val="24"/>
          <w:szCs w:val="24"/>
        </w:rPr>
        <w:t>(5)《内蒙古自治区水功能区管理办法》(内蒙古自治区人民政府办公厅</w:t>
      </w:r>
      <w:r>
        <w:rPr>
          <w:rFonts w:ascii="宋体" w:hAnsi="宋体" w:eastAsia="宋体" w:cs="宋体"/>
          <w:spacing w:val="4"/>
          <w:sz w:val="24"/>
          <w:szCs w:val="24"/>
        </w:rPr>
        <w:t xml:space="preserve"> </w:t>
      </w:r>
      <w:r>
        <w:rPr>
          <w:rFonts w:ascii="宋体" w:hAnsi="宋体" w:eastAsia="宋体" w:cs="宋体"/>
          <w:spacing w:val="12"/>
          <w:sz w:val="24"/>
          <w:szCs w:val="24"/>
        </w:rPr>
        <w:t>内政办发(2015)37</w:t>
      </w:r>
      <w:r>
        <w:rPr>
          <w:rFonts w:ascii="宋体" w:hAnsi="宋体" w:eastAsia="宋体" w:cs="宋体"/>
          <w:spacing w:val="-17"/>
          <w:sz w:val="24"/>
          <w:szCs w:val="24"/>
        </w:rPr>
        <w:t xml:space="preserve"> </w:t>
      </w:r>
      <w:r>
        <w:rPr>
          <w:rFonts w:ascii="宋体" w:hAnsi="宋体" w:eastAsia="宋体" w:cs="宋体"/>
          <w:spacing w:val="12"/>
          <w:sz w:val="24"/>
          <w:szCs w:val="24"/>
        </w:rPr>
        <w:t>号，2015);</w:t>
      </w:r>
    </w:p>
    <w:p w14:paraId="03C03004">
      <w:pPr>
        <w:spacing w:before="177" w:line="288" w:lineRule="auto"/>
        <w:ind w:right="143" w:firstLine="590"/>
        <w:rPr>
          <w:rFonts w:ascii="宋体" w:hAnsi="宋体" w:eastAsia="宋体" w:cs="宋体"/>
          <w:sz w:val="22"/>
          <w:szCs w:val="22"/>
        </w:rPr>
      </w:pPr>
      <w:r>
        <w:rPr>
          <w:rFonts w:ascii="宋体" w:hAnsi="宋体" w:eastAsia="宋体" w:cs="宋体"/>
          <w:spacing w:val="-10"/>
          <w:sz w:val="26"/>
          <w:szCs w:val="26"/>
        </w:rPr>
        <w:t>(6)《全国水资源保护规划(2016～2030 年)》(中华人民共和国水利部，</w:t>
      </w:r>
      <w:r>
        <w:rPr>
          <w:rFonts w:ascii="宋体" w:hAnsi="宋体" w:eastAsia="宋体" w:cs="宋体"/>
          <w:spacing w:val="9"/>
          <w:sz w:val="26"/>
          <w:szCs w:val="26"/>
        </w:rPr>
        <w:t xml:space="preserve"> </w:t>
      </w:r>
      <w:r>
        <w:rPr>
          <w:rFonts w:ascii="宋体" w:hAnsi="宋体" w:eastAsia="宋体" w:cs="宋体"/>
          <w:spacing w:val="-12"/>
          <w:sz w:val="22"/>
          <w:szCs w:val="22"/>
        </w:rPr>
        <w:t>2</w:t>
      </w:r>
      <w:r>
        <w:rPr>
          <w:rFonts w:ascii="宋体" w:hAnsi="宋体" w:eastAsia="宋体" w:cs="宋体"/>
          <w:spacing w:val="-38"/>
          <w:sz w:val="22"/>
          <w:szCs w:val="22"/>
        </w:rPr>
        <w:t xml:space="preserve"> </w:t>
      </w:r>
      <w:r>
        <w:rPr>
          <w:rFonts w:ascii="宋体" w:hAnsi="宋体" w:eastAsia="宋体" w:cs="宋体"/>
          <w:spacing w:val="-12"/>
          <w:sz w:val="22"/>
          <w:szCs w:val="22"/>
        </w:rPr>
        <w:t>0</w:t>
      </w:r>
      <w:r>
        <w:rPr>
          <w:rFonts w:ascii="宋体" w:hAnsi="宋体" w:eastAsia="宋体" w:cs="宋体"/>
          <w:spacing w:val="-29"/>
          <w:sz w:val="22"/>
          <w:szCs w:val="22"/>
        </w:rPr>
        <w:t xml:space="preserve"> </w:t>
      </w:r>
      <w:r>
        <w:rPr>
          <w:rFonts w:ascii="宋体" w:hAnsi="宋体" w:eastAsia="宋体" w:cs="宋体"/>
          <w:spacing w:val="-12"/>
          <w:sz w:val="22"/>
          <w:szCs w:val="22"/>
        </w:rPr>
        <w:t>1</w:t>
      </w:r>
      <w:r>
        <w:rPr>
          <w:rFonts w:ascii="宋体" w:hAnsi="宋体" w:eastAsia="宋体" w:cs="宋体"/>
          <w:spacing w:val="-40"/>
          <w:sz w:val="22"/>
          <w:szCs w:val="22"/>
        </w:rPr>
        <w:t xml:space="preserve"> </w:t>
      </w:r>
      <w:r>
        <w:rPr>
          <w:rFonts w:ascii="宋体" w:hAnsi="宋体" w:eastAsia="宋体" w:cs="宋体"/>
          <w:spacing w:val="-12"/>
          <w:sz w:val="22"/>
          <w:szCs w:val="22"/>
        </w:rPr>
        <w:t>7</w:t>
      </w:r>
      <w:r>
        <w:rPr>
          <w:rFonts w:ascii="宋体" w:hAnsi="宋体" w:eastAsia="宋体" w:cs="宋体"/>
          <w:spacing w:val="-44"/>
          <w:sz w:val="22"/>
          <w:szCs w:val="22"/>
        </w:rPr>
        <w:t xml:space="preserve"> </w:t>
      </w:r>
      <w:r>
        <w:rPr>
          <w:rFonts w:ascii="宋体" w:hAnsi="宋体" w:eastAsia="宋体" w:cs="宋体"/>
          <w:spacing w:val="-12"/>
          <w:sz w:val="22"/>
          <w:szCs w:val="22"/>
        </w:rPr>
        <w:t>年</w:t>
      </w:r>
      <w:r>
        <w:rPr>
          <w:rFonts w:ascii="宋体" w:hAnsi="宋体" w:eastAsia="宋体" w:cs="宋体"/>
          <w:spacing w:val="-44"/>
          <w:sz w:val="22"/>
          <w:szCs w:val="22"/>
        </w:rPr>
        <w:t xml:space="preserve"> </w:t>
      </w:r>
      <w:r>
        <w:rPr>
          <w:rFonts w:ascii="宋体" w:hAnsi="宋体" w:eastAsia="宋体" w:cs="宋体"/>
          <w:spacing w:val="-12"/>
          <w:sz w:val="22"/>
          <w:szCs w:val="22"/>
        </w:rPr>
        <w:t>) ;</w:t>
      </w:r>
    </w:p>
    <w:p w14:paraId="59A67F09">
      <w:pPr>
        <w:spacing w:before="229" w:line="275" w:lineRule="auto"/>
        <w:ind w:right="208" w:firstLine="590"/>
        <w:rPr>
          <w:rFonts w:ascii="宋体" w:hAnsi="宋体" w:eastAsia="宋体" w:cs="宋体"/>
          <w:sz w:val="24"/>
          <w:szCs w:val="24"/>
        </w:rPr>
      </w:pPr>
      <w:r>
        <w:rPr>
          <w:rFonts w:ascii="宋体" w:hAnsi="宋体" w:eastAsia="宋体" w:cs="宋体"/>
          <w:spacing w:val="14"/>
          <w:sz w:val="24"/>
          <w:szCs w:val="24"/>
        </w:rPr>
        <w:t>(7)《包头市城市总体规划(2011～2020年)》(包头市人民政府，20</w:t>
      </w:r>
      <w:r>
        <w:rPr>
          <w:rFonts w:ascii="宋体" w:hAnsi="宋体" w:eastAsia="宋体" w:cs="宋体"/>
          <w:spacing w:val="13"/>
          <w:sz w:val="24"/>
          <w:szCs w:val="24"/>
        </w:rPr>
        <w:t>15</w:t>
      </w:r>
      <w:r>
        <w:rPr>
          <w:rFonts w:ascii="宋体" w:hAnsi="宋体" w:eastAsia="宋体" w:cs="宋体"/>
          <w:sz w:val="24"/>
          <w:szCs w:val="24"/>
        </w:rPr>
        <w:t xml:space="preserve"> </w:t>
      </w:r>
      <w:r>
        <w:rPr>
          <w:rFonts w:ascii="宋体" w:hAnsi="宋体" w:eastAsia="宋体" w:cs="宋体"/>
          <w:spacing w:val="36"/>
          <w:sz w:val="24"/>
          <w:szCs w:val="24"/>
        </w:rPr>
        <w:t>年12月)。</w:t>
      </w:r>
    </w:p>
    <w:p w14:paraId="1FE5C01B">
      <w:pPr>
        <w:spacing w:before="183" w:line="220" w:lineRule="auto"/>
        <w:outlineLvl w:val="2"/>
        <w:rPr>
          <w:rFonts w:ascii="宋体" w:hAnsi="宋体" w:eastAsia="宋体" w:cs="宋体"/>
          <w:sz w:val="24"/>
          <w:szCs w:val="24"/>
        </w:rPr>
      </w:pPr>
      <w:bookmarkStart w:id="10" w:name="bookmark7"/>
      <w:bookmarkEnd w:id="10"/>
      <w:r>
        <w:rPr>
          <w:rFonts w:ascii="宋体" w:hAnsi="宋体" w:eastAsia="宋体" w:cs="宋体"/>
          <w:spacing w:val="4"/>
          <w:sz w:val="24"/>
          <w:szCs w:val="24"/>
        </w:rPr>
        <w:t>1.</w:t>
      </w:r>
      <w:r>
        <w:rPr>
          <w:rFonts w:ascii="宋体" w:hAnsi="宋体" w:eastAsia="宋体" w:cs="宋体"/>
          <w:b/>
          <w:bCs/>
          <w:spacing w:val="4"/>
          <w:sz w:val="24"/>
          <w:szCs w:val="24"/>
        </w:rPr>
        <w:t>2.4相关标准</w:t>
      </w:r>
    </w:p>
    <w:p w14:paraId="671622E6">
      <w:pPr>
        <w:spacing w:before="189" w:line="212" w:lineRule="auto"/>
        <w:ind w:left="590"/>
        <w:rPr>
          <w:rFonts w:ascii="Times New Roman" w:hAnsi="Times New Roman" w:eastAsia="Times New Roman" w:cs="Times New Roman"/>
          <w:sz w:val="24"/>
          <w:szCs w:val="24"/>
        </w:rPr>
      </w:pPr>
      <w:r>
        <w:rPr>
          <w:rFonts w:ascii="宋体" w:hAnsi="宋体" w:eastAsia="宋体" w:cs="宋体"/>
          <w:spacing w:val="-1"/>
          <w:sz w:val="24"/>
          <w:szCs w:val="24"/>
        </w:rPr>
        <w:t>(1)《饮用水水源保护区标志技术要求》</w:t>
      </w:r>
      <w:r>
        <w:rPr>
          <w:rFonts w:ascii="宋体" w:hAnsi="宋体" w:eastAsia="宋体" w:cs="宋体"/>
          <w:spacing w:val="86"/>
          <w:sz w:val="24"/>
          <w:szCs w:val="24"/>
        </w:rPr>
        <w:t xml:space="preserve"> </w:t>
      </w:r>
      <w:r>
        <w:rPr>
          <w:rFonts w:ascii="宋体" w:hAnsi="宋体" w:eastAsia="宋体" w:cs="宋体"/>
          <w:spacing w:val="-1"/>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HJ/T433—2008);</w:t>
      </w:r>
    </w:p>
    <w:p w14:paraId="5D3929AE">
      <w:pPr>
        <w:spacing w:before="185" w:line="212" w:lineRule="auto"/>
        <w:ind w:left="590"/>
        <w:rPr>
          <w:rFonts w:ascii="Times New Roman" w:hAnsi="Times New Roman" w:eastAsia="Times New Roman" w:cs="Times New Roman"/>
          <w:sz w:val="24"/>
          <w:szCs w:val="24"/>
        </w:rPr>
      </w:pPr>
      <w:r>
        <w:rPr>
          <w:rFonts w:ascii="宋体" w:hAnsi="宋体" w:eastAsia="宋体" w:cs="宋体"/>
          <w:spacing w:val="-1"/>
          <w:sz w:val="24"/>
          <w:szCs w:val="24"/>
        </w:rPr>
        <w:t>(2)《生活饮用水卫生标准》</w:t>
      </w:r>
      <w:r>
        <w:rPr>
          <w:rFonts w:ascii="宋体" w:hAnsi="宋体" w:eastAsia="宋体" w:cs="宋体"/>
          <w:spacing w:val="66"/>
          <w:sz w:val="24"/>
          <w:szCs w:val="24"/>
        </w:rPr>
        <w:t xml:space="preserve"> </w:t>
      </w:r>
      <w:r>
        <w:rPr>
          <w:rFonts w:ascii="宋体" w:hAnsi="宋体" w:eastAsia="宋体" w:cs="宋体"/>
          <w:spacing w:val="-1"/>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GB5749—2006);</w:t>
      </w:r>
    </w:p>
    <w:p w14:paraId="44622E46">
      <w:pPr>
        <w:spacing w:before="184" w:line="212" w:lineRule="auto"/>
        <w:ind w:left="590"/>
        <w:rPr>
          <w:rFonts w:ascii="Times New Roman" w:hAnsi="Times New Roman" w:eastAsia="Times New Roman" w:cs="Times New Roman"/>
          <w:sz w:val="24"/>
          <w:szCs w:val="24"/>
        </w:rPr>
      </w:pPr>
      <w:r>
        <w:rPr>
          <w:rFonts w:ascii="宋体" w:hAnsi="宋体" w:eastAsia="宋体" w:cs="宋体"/>
          <w:spacing w:val="-1"/>
          <w:sz w:val="24"/>
          <w:szCs w:val="24"/>
        </w:rPr>
        <w:t>(3)《地下水质量标准》</w:t>
      </w:r>
      <w:r>
        <w:rPr>
          <w:rFonts w:ascii="宋体" w:hAnsi="宋体" w:eastAsia="宋体" w:cs="宋体"/>
          <w:spacing w:val="67"/>
          <w:sz w:val="24"/>
          <w:szCs w:val="24"/>
        </w:rPr>
        <w:t xml:space="preserve"> </w:t>
      </w:r>
      <w:r>
        <w:rPr>
          <w:rFonts w:ascii="宋体" w:hAnsi="宋体" w:eastAsia="宋体" w:cs="宋体"/>
          <w:spacing w:val="-1"/>
          <w:sz w:val="24"/>
          <w:szCs w:val="24"/>
        </w:rPr>
        <w:t>(</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GB/T14848—2017);</w:t>
      </w:r>
    </w:p>
    <w:p w14:paraId="56E24BB3">
      <w:pPr>
        <w:spacing w:before="195" w:line="212" w:lineRule="auto"/>
        <w:ind w:left="590"/>
        <w:rPr>
          <w:rFonts w:ascii="Times New Roman" w:hAnsi="Times New Roman" w:eastAsia="Times New Roman" w:cs="Times New Roman"/>
          <w:sz w:val="24"/>
          <w:szCs w:val="24"/>
        </w:rPr>
      </w:pPr>
      <w:r>
        <w:rPr>
          <w:rFonts w:ascii="宋体" w:hAnsi="宋体" w:eastAsia="宋体" w:cs="宋体"/>
          <w:spacing w:val="1"/>
          <w:sz w:val="24"/>
          <w:szCs w:val="24"/>
        </w:rPr>
        <w:t>(4)《污水综合排放标准》</w:t>
      </w:r>
      <w:r>
        <w:rPr>
          <w:rFonts w:ascii="宋体" w:hAnsi="宋体" w:eastAsia="宋体" w:cs="宋体"/>
          <w:spacing w:val="73"/>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8978—1996);</w:t>
      </w:r>
    </w:p>
    <w:p w14:paraId="72100FF5">
      <w:pPr>
        <w:spacing w:before="204" w:line="212" w:lineRule="auto"/>
        <w:ind w:left="590"/>
        <w:rPr>
          <w:rFonts w:ascii="Times New Roman" w:hAnsi="Times New Roman" w:eastAsia="Times New Roman" w:cs="Times New Roman"/>
          <w:sz w:val="24"/>
          <w:szCs w:val="24"/>
        </w:rPr>
      </w:pPr>
      <w:r>
        <w:rPr>
          <w:rFonts w:ascii="宋体" w:hAnsi="宋体" w:eastAsia="宋体" w:cs="宋体"/>
          <w:spacing w:val="1"/>
          <w:sz w:val="24"/>
          <w:szCs w:val="24"/>
        </w:rPr>
        <w:t>(5)《地表水环境质量标准》</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3838—2002);</w:t>
      </w:r>
    </w:p>
    <w:p w14:paraId="4A12B2D7">
      <w:pPr>
        <w:spacing w:before="194" w:line="212" w:lineRule="auto"/>
        <w:ind w:left="590"/>
        <w:rPr>
          <w:rFonts w:ascii="Times New Roman" w:hAnsi="Times New Roman" w:eastAsia="Times New Roman" w:cs="Times New Roman"/>
          <w:sz w:val="24"/>
          <w:szCs w:val="24"/>
        </w:rPr>
      </w:pPr>
      <w:r>
        <w:rPr>
          <w:rFonts w:ascii="宋体" w:hAnsi="宋体" w:eastAsia="宋体" w:cs="宋体"/>
          <w:spacing w:val="-1"/>
          <w:sz w:val="24"/>
          <w:szCs w:val="24"/>
        </w:rPr>
        <w:t>(6)《生活饮用水水源水质标准》</w:t>
      </w:r>
      <w:r>
        <w:rPr>
          <w:rFonts w:ascii="宋体" w:hAnsi="宋体" w:eastAsia="宋体" w:cs="宋体"/>
          <w:spacing w:val="84"/>
          <w:sz w:val="24"/>
          <w:szCs w:val="24"/>
        </w:rPr>
        <w:t xml:space="preserve"> </w:t>
      </w:r>
      <w:r>
        <w:rPr>
          <w:rFonts w:ascii="宋体" w:hAnsi="宋体" w:eastAsia="宋体" w:cs="宋体"/>
          <w:spacing w:val="-1"/>
          <w:sz w:val="24"/>
          <w:szCs w:val="24"/>
        </w:rPr>
        <w:t>(</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CJ3020—93)</w:t>
      </w:r>
      <w:r>
        <w:rPr>
          <w:rFonts w:ascii="宋体" w:hAnsi="宋体" w:eastAsia="宋体" w:cs="宋体"/>
          <w:spacing w:val="-1"/>
          <w:sz w:val="24"/>
          <w:szCs w:val="24"/>
        </w:rPr>
        <w:t>》</w:t>
      </w:r>
      <w:r>
        <w:rPr>
          <w:rFonts w:ascii="Times New Roman" w:hAnsi="Times New Roman" w:eastAsia="Times New Roman" w:cs="Times New Roman"/>
          <w:spacing w:val="-1"/>
          <w:sz w:val="24"/>
          <w:szCs w:val="24"/>
        </w:rPr>
        <w:t>;</w:t>
      </w:r>
    </w:p>
    <w:p w14:paraId="6D5A0912">
      <w:pPr>
        <w:spacing w:before="180" w:line="220" w:lineRule="auto"/>
        <w:outlineLvl w:val="2"/>
        <w:rPr>
          <w:rFonts w:ascii="宋体" w:hAnsi="宋体" w:eastAsia="宋体" w:cs="宋体"/>
          <w:sz w:val="26"/>
          <w:szCs w:val="26"/>
        </w:rPr>
      </w:pPr>
      <w:bookmarkStart w:id="11" w:name="bookmark8"/>
      <w:bookmarkEnd w:id="11"/>
      <w:r>
        <w:rPr>
          <w:rFonts w:ascii="宋体" w:hAnsi="宋体" w:eastAsia="宋体" w:cs="宋体"/>
          <w:spacing w:val="-10"/>
          <w:sz w:val="26"/>
          <w:szCs w:val="26"/>
        </w:rPr>
        <w:t>1.</w:t>
      </w:r>
      <w:r>
        <w:rPr>
          <w:rFonts w:ascii="宋体" w:hAnsi="宋体" w:eastAsia="宋体" w:cs="宋体"/>
          <w:b/>
          <w:bCs/>
          <w:spacing w:val="-10"/>
          <w:sz w:val="26"/>
          <w:szCs w:val="26"/>
        </w:rPr>
        <w:t>2.5相关规划</w:t>
      </w:r>
    </w:p>
    <w:p w14:paraId="4EFE0B98">
      <w:pPr>
        <w:spacing w:before="192" w:line="219" w:lineRule="auto"/>
        <w:ind w:left="590"/>
        <w:rPr>
          <w:rFonts w:ascii="宋体" w:hAnsi="宋体" w:eastAsia="宋体" w:cs="宋体"/>
          <w:sz w:val="24"/>
          <w:szCs w:val="24"/>
        </w:rPr>
      </w:pPr>
      <w:r>
        <w:rPr>
          <w:rFonts w:ascii="宋体" w:hAnsi="宋体" w:eastAsia="宋体" w:cs="宋体"/>
          <w:spacing w:val="4"/>
          <w:sz w:val="24"/>
          <w:szCs w:val="24"/>
        </w:rPr>
        <w:t>(1)《包头市石拐区集中式饮用水水源地保护区划分调整方案项目环境水</w:t>
      </w:r>
    </w:p>
    <w:p w14:paraId="7E8ECC21">
      <w:pPr>
        <w:spacing w:line="219" w:lineRule="auto"/>
        <w:rPr>
          <w:rFonts w:ascii="宋体" w:hAnsi="宋体" w:eastAsia="宋体" w:cs="宋体"/>
          <w:sz w:val="24"/>
          <w:szCs w:val="24"/>
        </w:rPr>
        <w:sectPr>
          <w:footerReference r:id="rId7" w:type="default"/>
          <w:pgSz w:w="11910" w:h="16850"/>
          <w:pgMar w:top="1421" w:right="1786" w:bottom="1464" w:left="1579" w:header="0" w:footer="1329" w:gutter="0"/>
          <w:cols w:space="720" w:num="1"/>
        </w:sectPr>
      </w:pPr>
    </w:p>
    <w:p w14:paraId="2208FD31">
      <w:pPr>
        <w:spacing w:before="175" w:line="218" w:lineRule="auto"/>
        <w:rPr>
          <w:rFonts w:ascii="宋体" w:hAnsi="宋体" w:eastAsia="宋体" w:cs="宋体"/>
          <w:sz w:val="24"/>
          <w:szCs w:val="24"/>
        </w:rPr>
      </w:pPr>
      <w:r>
        <w:rPr>
          <w:rFonts w:ascii="宋体" w:hAnsi="宋体" w:eastAsia="宋体" w:cs="宋体"/>
          <w:spacing w:val="8"/>
          <w:sz w:val="24"/>
          <w:szCs w:val="24"/>
        </w:rPr>
        <w:t>文地质勘察报告》(内蒙古联邦地质勘查有限责任公司，2018年</w:t>
      </w:r>
      <w:r>
        <w:rPr>
          <w:rFonts w:ascii="宋体" w:hAnsi="宋体" w:eastAsia="宋体" w:cs="宋体"/>
          <w:spacing w:val="7"/>
          <w:sz w:val="24"/>
          <w:szCs w:val="24"/>
        </w:rPr>
        <w:t>10 月</w:t>
      </w:r>
      <w:r>
        <w:rPr>
          <w:rFonts w:ascii="宋体" w:hAnsi="宋体" w:eastAsia="宋体" w:cs="宋体"/>
          <w:spacing w:val="-32"/>
          <w:sz w:val="24"/>
          <w:szCs w:val="24"/>
        </w:rPr>
        <w:t xml:space="preserve"> </w:t>
      </w:r>
      <w:r>
        <w:rPr>
          <w:rFonts w:ascii="宋体" w:hAnsi="宋体" w:eastAsia="宋体" w:cs="宋体"/>
          <w:spacing w:val="7"/>
          <w:sz w:val="24"/>
          <w:szCs w:val="24"/>
        </w:rPr>
        <w:t>) ;</w:t>
      </w:r>
    </w:p>
    <w:p w14:paraId="2CE09160">
      <w:pPr>
        <w:spacing w:before="188" w:line="219" w:lineRule="auto"/>
        <w:ind w:left="600"/>
        <w:rPr>
          <w:rFonts w:ascii="宋体" w:hAnsi="宋体" w:eastAsia="宋体" w:cs="宋体"/>
          <w:sz w:val="24"/>
          <w:szCs w:val="24"/>
        </w:rPr>
      </w:pPr>
      <w:r>
        <w:rPr>
          <w:rFonts w:ascii="宋体" w:hAnsi="宋体" w:eastAsia="宋体" w:cs="宋体"/>
          <w:spacing w:val="14"/>
          <w:sz w:val="24"/>
          <w:szCs w:val="24"/>
        </w:rPr>
        <w:t>(2)《包头统计年鉴—2017》(包头市统计局编);</w:t>
      </w:r>
    </w:p>
    <w:p w14:paraId="758A150F">
      <w:pPr>
        <w:spacing w:before="185" w:line="219" w:lineRule="auto"/>
        <w:ind w:left="600"/>
        <w:rPr>
          <w:rFonts w:ascii="宋体" w:hAnsi="宋体" w:eastAsia="宋体" w:cs="宋体"/>
          <w:sz w:val="24"/>
          <w:szCs w:val="24"/>
        </w:rPr>
      </w:pPr>
      <w:r>
        <w:rPr>
          <w:rFonts w:ascii="宋体" w:hAnsi="宋体" w:eastAsia="宋体" w:cs="宋体"/>
          <w:spacing w:val="8"/>
          <w:sz w:val="24"/>
          <w:szCs w:val="24"/>
        </w:rPr>
        <w:t>(3)</w:t>
      </w:r>
      <w:r>
        <w:rPr>
          <w:rFonts w:ascii="宋体" w:hAnsi="宋体" w:eastAsia="宋体" w:cs="宋体"/>
          <w:spacing w:val="41"/>
          <w:sz w:val="24"/>
          <w:szCs w:val="24"/>
        </w:rPr>
        <w:t xml:space="preserve"> </w:t>
      </w:r>
      <w:r>
        <w:rPr>
          <w:rFonts w:ascii="宋体" w:hAnsi="宋体" w:eastAsia="宋体" w:cs="宋体"/>
          <w:spacing w:val="8"/>
          <w:sz w:val="24"/>
          <w:szCs w:val="24"/>
        </w:rPr>
        <w:t>内蒙古自治区水资源公报(内蒙古自治区水利厅);</w:t>
      </w:r>
    </w:p>
    <w:p w14:paraId="3FB38139">
      <w:pPr>
        <w:spacing w:before="185" w:line="219" w:lineRule="auto"/>
        <w:ind w:left="600"/>
        <w:rPr>
          <w:rFonts w:ascii="宋体" w:hAnsi="宋体" w:eastAsia="宋体" w:cs="宋体"/>
          <w:sz w:val="24"/>
          <w:szCs w:val="24"/>
        </w:rPr>
      </w:pPr>
      <w:r>
        <w:rPr>
          <w:rFonts w:ascii="宋体" w:hAnsi="宋体" w:eastAsia="宋体" w:cs="宋体"/>
          <w:spacing w:val="19"/>
          <w:sz w:val="24"/>
          <w:szCs w:val="24"/>
        </w:rPr>
        <w:t>(4)《 包头市水资源公报》(2016版)(包头市水务局)。</w:t>
      </w:r>
    </w:p>
    <w:p w14:paraId="59EBD6EE">
      <w:pPr>
        <w:spacing w:before="233" w:line="220" w:lineRule="auto"/>
        <w:outlineLvl w:val="1"/>
        <w:rPr>
          <w:rFonts w:ascii="宋体" w:hAnsi="宋体" w:eastAsia="宋体" w:cs="宋体"/>
          <w:sz w:val="28"/>
          <w:szCs w:val="28"/>
        </w:rPr>
      </w:pPr>
      <w:bookmarkStart w:id="12" w:name="bookmark9"/>
      <w:bookmarkEnd w:id="12"/>
      <w:r>
        <w:rPr>
          <w:rFonts w:ascii="宋体" w:hAnsi="宋体" w:eastAsia="宋体" w:cs="宋体"/>
          <w:spacing w:val="7"/>
          <w:sz w:val="28"/>
          <w:szCs w:val="28"/>
        </w:rPr>
        <w:t>1.</w:t>
      </w:r>
      <w:r>
        <w:rPr>
          <w:rFonts w:ascii="宋体" w:hAnsi="宋体" w:eastAsia="宋体" w:cs="宋体"/>
          <w:b/>
          <w:bCs/>
          <w:spacing w:val="7"/>
          <w:sz w:val="28"/>
          <w:szCs w:val="28"/>
        </w:rPr>
        <w:t>3适用范围</w:t>
      </w:r>
    </w:p>
    <w:p w14:paraId="59531FFE">
      <w:pPr>
        <w:spacing w:before="196" w:line="219" w:lineRule="auto"/>
        <w:ind w:left="499"/>
        <w:rPr>
          <w:rFonts w:ascii="宋体" w:hAnsi="宋体" w:eastAsia="宋体" w:cs="宋体"/>
          <w:sz w:val="24"/>
          <w:szCs w:val="24"/>
        </w:rPr>
      </w:pPr>
      <w:r>
        <w:rPr>
          <w:rFonts w:ascii="宋体" w:hAnsi="宋体" w:eastAsia="宋体" w:cs="宋体"/>
          <w:color w:val="307050"/>
          <w:sz w:val="24"/>
          <w:szCs w:val="24"/>
        </w:rPr>
        <w:t>本预案适用于包头市石拐区集中式饮用水水源地突发性环境事件的应急处</w:t>
      </w:r>
    </w:p>
    <w:p w14:paraId="7D73E4E8">
      <w:pPr>
        <w:spacing w:before="225" w:line="225" w:lineRule="auto"/>
        <w:rPr>
          <w:rFonts w:ascii="宋体" w:hAnsi="宋体" w:eastAsia="宋体" w:cs="宋体"/>
          <w:sz w:val="24"/>
          <w:szCs w:val="24"/>
        </w:rPr>
      </w:pPr>
      <w:r>
        <w:rPr>
          <w:rFonts w:ascii="宋体" w:hAnsi="宋体" w:eastAsia="宋体" w:cs="宋体"/>
          <w:spacing w:val="-4"/>
          <w:sz w:val="24"/>
          <w:szCs w:val="24"/>
        </w:rPr>
        <w:t>置。</w:t>
      </w:r>
    </w:p>
    <w:p w14:paraId="7D519FC8">
      <w:pPr>
        <w:spacing w:before="238" w:line="220" w:lineRule="auto"/>
        <w:outlineLvl w:val="1"/>
        <w:rPr>
          <w:rFonts w:ascii="宋体" w:hAnsi="宋体" w:eastAsia="宋体" w:cs="宋体"/>
          <w:sz w:val="28"/>
          <w:szCs w:val="28"/>
        </w:rPr>
      </w:pPr>
      <w:bookmarkStart w:id="13" w:name="bookmark10"/>
      <w:bookmarkEnd w:id="13"/>
      <w:r>
        <w:rPr>
          <w:rFonts w:ascii="宋体" w:hAnsi="宋体" w:eastAsia="宋体" w:cs="宋体"/>
          <w:spacing w:val="6"/>
          <w:sz w:val="28"/>
          <w:szCs w:val="28"/>
        </w:rPr>
        <w:t>1.</w:t>
      </w:r>
      <w:r>
        <w:rPr>
          <w:rFonts w:ascii="宋体" w:hAnsi="宋体" w:eastAsia="宋体" w:cs="宋体"/>
          <w:b/>
          <w:bCs/>
          <w:spacing w:val="6"/>
          <w:sz w:val="28"/>
          <w:szCs w:val="28"/>
        </w:rPr>
        <w:t>4应急预案衔接性</w:t>
      </w:r>
    </w:p>
    <w:p w14:paraId="4DE3C61D">
      <w:pPr>
        <w:spacing w:before="229" w:line="355" w:lineRule="auto"/>
        <w:ind w:right="33" w:firstLine="509"/>
        <w:jc w:val="both"/>
        <w:rPr>
          <w:rFonts w:ascii="宋体" w:hAnsi="宋体" w:eastAsia="宋体" w:cs="宋体"/>
          <w:sz w:val="24"/>
          <w:szCs w:val="24"/>
        </w:rPr>
      </w:pPr>
      <w:r>
        <w:rPr>
          <w:rFonts w:ascii="宋体" w:hAnsi="宋体" w:eastAsia="宋体" w:cs="宋体"/>
          <w:spacing w:val="-2"/>
          <w:sz w:val="24"/>
          <w:szCs w:val="24"/>
        </w:rPr>
        <w:t>本预案实施主体为包头市石拐区人民政府，</w:t>
      </w:r>
      <w:r>
        <w:rPr>
          <w:rFonts w:ascii="宋体" w:hAnsi="宋体" w:eastAsia="宋体" w:cs="宋体"/>
          <w:spacing w:val="-3"/>
          <w:sz w:val="24"/>
          <w:szCs w:val="24"/>
        </w:rPr>
        <w:t>在上级预案的统一规范下，与各</w:t>
      </w:r>
      <w:r>
        <w:rPr>
          <w:rFonts w:ascii="宋体" w:hAnsi="宋体" w:eastAsia="宋体" w:cs="宋体"/>
          <w:sz w:val="24"/>
          <w:szCs w:val="24"/>
        </w:rPr>
        <w:t xml:space="preserve"> </w:t>
      </w:r>
      <w:r>
        <w:rPr>
          <w:rFonts w:ascii="宋体" w:hAnsi="宋体" w:eastAsia="宋体" w:cs="宋体"/>
          <w:spacing w:val="-2"/>
          <w:sz w:val="24"/>
          <w:szCs w:val="24"/>
        </w:rPr>
        <w:t>单位的突发环境事件应急预案联动发挥效能，指导全区集中</w:t>
      </w:r>
      <w:r>
        <w:rPr>
          <w:rFonts w:ascii="宋体" w:hAnsi="宋体" w:eastAsia="宋体" w:cs="宋体"/>
          <w:spacing w:val="-3"/>
          <w:sz w:val="24"/>
          <w:szCs w:val="24"/>
        </w:rPr>
        <w:t>式饮用水源地突发环</w:t>
      </w:r>
      <w:r>
        <w:rPr>
          <w:rFonts w:ascii="宋体" w:hAnsi="宋体" w:eastAsia="宋体" w:cs="宋体"/>
          <w:sz w:val="24"/>
          <w:szCs w:val="24"/>
        </w:rPr>
        <w:t xml:space="preserve">  </w:t>
      </w:r>
      <w:r>
        <w:rPr>
          <w:rFonts w:ascii="宋体" w:hAnsi="宋体" w:eastAsia="宋体" w:cs="宋体"/>
          <w:spacing w:val="-2"/>
          <w:sz w:val="24"/>
          <w:szCs w:val="24"/>
        </w:rPr>
        <w:t>境事件的应对工作。当集中式饮用水源地发生突发环境事件时，应</w:t>
      </w:r>
      <w:r>
        <w:rPr>
          <w:rFonts w:ascii="宋体" w:hAnsi="宋体" w:eastAsia="宋体" w:cs="宋体"/>
          <w:spacing w:val="-3"/>
          <w:sz w:val="24"/>
          <w:szCs w:val="24"/>
        </w:rPr>
        <w:t>按事件的危害</w:t>
      </w:r>
      <w:r>
        <w:rPr>
          <w:rFonts w:ascii="宋体" w:hAnsi="宋体" w:eastAsia="宋体" w:cs="宋体"/>
          <w:sz w:val="24"/>
          <w:szCs w:val="24"/>
        </w:rPr>
        <w:t xml:space="preserve">  </w:t>
      </w:r>
      <w:r>
        <w:rPr>
          <w:rFonts w:ascii="宋体" w:hAnsi="宋体" w:eastAsia="宋体" w:cs="宋体"/>
          <w:spacing w:val="-6"/>
          <w:sz w:val="24"/>
          <w:szCs w:val="24"/>
        </w:rPr>
        <w:t>性及影响范围，根据本预案的要求，同时结合《包头市突发环境事件应急预案》、</w:t>
      </w:r>
      <w:r>
        <w:rPr>
          <w:rFonts w:ascii="宋体" w:hAnsi="宋体" w:eastAsia="宋体" w:cs="宋体"/>
          <w:spacing w:val="4"/>
          <w:sz w:val="24"/>
          <w:szCs w:val="24"/>
        </w:rPr>
        <w:t xml:space="preserve"> </w:t>
      </w:r>
      <w:r>
        <w:rPr>
          <w:rFonts w:ascii="宋体" w:hAnsi="宋体" w:eastAsia="宋体" w:cs="宋体"/>
          <w:spacing w:val="-1"/>
          <w:sz w:val="24"/>
          <w:szCs w:val="24"/>
        </w:rPr>
        <w:t>《包头市石拐区突发环境事件应急预案》、《包头市突发</w:t>
      </w:r>
      <w:r>
        <w:rPr>
          <w:rFonts w:ascii="宋体" w:hAnsi="宋体" w:eastAsia="宋体" w:cs="宋体"/>
          <w:spacing w:val="-2"/>
          <w:sz w:val="24"/>
          <w:szCs w:val="24"/>
        </w:rPr>
        <w:t>公共事件医疗救援应急</w:t>
      </w:r>
      <w:r>
        <w:rPr>
          <w:rFonts w:ascii="宋体" w:hAnsi="宋体" w:eastAsia="宋体" w:cs="宋体"/>
          <w:sz w:val="24"/>
          <w:szCs w:val="24"/>
        </w:rPr>
        <w:t xml:space="preserve"> </w:t>
      </w:r>
      <w:r>
        <w:rPr>
          <w:rFonts w:ascii="宋体" w:hAnsi="宋体" w:eastAsia="宋体" w:cs="宋体"/>
          <w:spacing w:val="-2"/>
          <w:sz w:val="24"/>
          <w:szCs w:val="24"/>
        </w:rPr>
        <w:t>预案》和生产经营单位突发环境事件应急预案，</w:t>
      </w:r>
      <w:r>
        <w:rPr>
          <w:rFonts w:ascii="宋体" w:hAnsi="宋体" w:eastAsia="宋体" w:cs="宋体"/>
          <w:color w:val="607070"/>
          <w:spacing w:val="-2"/>
          <w:sz w:val="24"/>
          <w:szCs w:val="24"/>
        </w:rPr>
        <w:t>以及涉</w:t>
      </w:r>
      <w:r>
        <w:rPr>
          <w:rFonts w:ascii="宋体" w:hAnsi="宋体" w:eastAsia="宋体" w:cs="宋体"/>
          <w:color w:val="607070"/>
          <w:spacing w:val="-3"/>
          <w:sz w:val="24"/>
          <w:szCs w:val="24"/>
        </w:rPr>
        <w:t>事的邻近区域的突发环境</w:t>
      </w:r>
      <w:r>
        <w:rPr>
          <w:rFonts w:ascii="宋体" w:hAnsi="宋体" w:eastAsia="宋体" w:cs="宋体"/>
          <w:color w:val="607070"/>
          <w:sz w:val="24"/>
          <w:szCs w:val="24"/>
        </w:rPr>
        <w:t xml:space="preserve">  </w:t>
      </w:r>
      <w:r>
        <w:rPr>
          <w:rFonts w:ascii="宋体" w:hAnsi="宋体" w:eastAsia="宋体" w:cs="宋体"/>
          <w:spacing w:val="-2"/>
          <w:sz w:val="24"/>
          <w:szCs w:val="24"/>
        </w:rPr>
        <w:t>事件应急预案。包头市石拐区集中式饮用水水源地发生突发事件需及时</w:t>
      </w:r>
      <w:r>
        <w:rPr>
          <w:rFonts w:ascii="宋体" w:hAnsi="宋体" w:eastAsia="宋体" w:cs="宋体"/>
          <w:spacing w:val="-3"/>
          <w:sz w:val="24"/>
          <w:szCs w:val="24"/>
        </w:rPr>
        <w:t>上报石拐</w:t>
      </w:r>
      <w:r>
        <w:rPr>
          <w:rFonts w:ascii="宋体" w:hAnsi="宋体" w:eastAsia="宋体" w:cs="宋体"/>
          <w:sz w:val="24"/>
          <w:szCs w:val="24"/>
        </w:rPr>
        <w:t xml:space="preserve">  </w:t>
      </w:r>
      <w:r>
        <w:rPr>
          <w:rFonts w:ascii="宋体" w:hAnsi="宋体" w:eastAsia="宋体" w:cs="宋体"/>
          <w:spacing w:val="-2"/>
          <w:sz w:val="24"/>
          <w:szCs w:val="24"/>
        </w:rPr>
        <w:t>区人民政府，当事件超出石拐区人民政府应对突发环境事</w:t>
      </w:r>
      <w:r>
        <w:rPr>
          <w:rFonts w:ascii="宋体" w:hAnsi="宋体" w:eastAsia="宋体" w:cs="宋体"/>
          <w:spacing w:val="-3"/>
          <w:sz w:val="24"/>
          <w:szCs w:val="24"/>
        </w:rPr>
        <w:t>件处置能力时，上报包</w:t>
      </w:r>
      <w:r>
        <w:rPr>
          <w:rFonts w:ascii="宋体" w:hAnsi="宋体" w:eastAsia="宋体" w:cs="宋体"/>
          <w:sz w:val="24"/>
          <w:szCs w:val="24"/>
        </w:rPr>
        <w:t xml:space="preserve">  </w:t>
      </w:r>
      <w:r>
        <w:rPr>
          <w:rFonts w:ascii="宋体" w:hAnsi="宋体" w:eastAsia="宋体" w:cs="宋体"/>
          <w:spacing w:val="-1"/>
          <w:sz w:val="24"/>
          <w:szCs w:val="24"/>
        </w:rPr>
        <w:t>头市人民政府，由包头市人民政府统一指挥。</w:t>
      </w:r>
    </w:p>
    <w:p w14:paraId="72E5B046">
      <w:pPr>
        <w:spacing w:before="75" w:line="220" w:lineRule="auto"/>
        <w:outlineLvl w:val="1"/>
        <w:rPr>
          <w:rFonts w:ascii="宋体" w:hAnsi="宋体" w:eastAsia="宋体" w:cs="宋体"/>
          <w:sz w:val="31"/>
          <w:szCs w:val="31"/>
        </w:rPr>
      </w:pPr>
      <w:bookmarkStart w:id="14" w:name="bookmark11"/>
      <w:bookmarkEnd w:id="14"/>
      <w:r>
        <w:rPr>
          <w:rFonts w:ascii="宋体" w:hAnsi="宋体" w:eastAsia="宋体" w:cs="宋体"/>
          <w:spacing w:val="-20"/>
          <w:sz w:val="31"/>
          <w:szCs w:val="31"/>
        </w:rPr>
        <w:t>1.</w:t>
      </w:r>
      <w:r>
        <w:rPr>
          <w:rFonts w:ascii="宋体" w:hAnsi="宋体" w:eastAsia="宋体" w:cs="宋体"/>
          <w:b/>
          <w:bCs/>
          <w:spacing w:val="-20"/>
          <w:sz w:val="31"/>
          <w:szCs w:val="31"/>
        </w:rPr>
        <w:t>5应急预案工作原则</w:t>
      </w:r>
    </w:p>
    <w:p w14:paraId="3943D53A">
      <w:pPr>
        <w:spacing w:before="239" w:line="358" w:lineRule="auto"/>
        <w:ind w:right="105" w:firstLine="539"/>
        <w:rPr>
          <w:rFonts w:ascii="宋体" w:hAnsi="宋体" w:eastAsia="宋体" w:cs="宋体"/>
          <w:sz w:val="24"/>
          <w:szCs w:val="24"/>
        </w:rPr>
      </w:pPr>
      <w:r>
        <w:rPr>
          <w:rFonts w:ascii="宋体" w:hAnsi="宋体" w:eastAsia="宋体" w:cs="宋体"/>
          <w:spacing w:val="-3"/>
          <w:sz w:val="24"/>
          <w:szCs w:val="24"/>
        </w:rPr>
        <w:t>在建立突发性环境污染事故应急系统及其响应程序时，应本着实</w:t>
      </w:r>
      <w:r>
        <w:rPr>
          <w:rFonts w:ascii="宋体" w:hAnsi="宋体" w:eastAsia="宋体" w:cs="宋体"/>
          <w:spacing w:val="-4"/>
          <w:sz w:val="24"/>
          <w:szCs w:val="24"/>
        </w:rPr>
        <w:t>事求是、切</w:t>
      </w:r>
      <w:r>
        <w:rPr>
          <w:rFonts w:ascii="宋体" w:hAnsi="宋体" w:eastAsia="宋体" w:cs="宋体"/>
          <w:sz w:val="24"/>
          <w:szCs w:val="24"/>
        </w:rPr>
        <w:t xml:space="preserve"> </w:t>
      </w:r>
      <w:r>
        <w:rPr>
          <w:rFonts w:ascii="宋体" w:hAnsi="宋体" w:eastAsia="宋体" w:cs="宋体"/>
          <w:spacing w:val="-5"/>
          <w:sz w:val="24"/>
          <w:szCs w:val="24"/>
        </w:rPr>
        <w:t>实可行的方针，贯彻如下工作原则：</w:t>
      </w:r>
    </w:p>
    <w:p w14:paraId="76526FBA">
      <w:pPr>
        <w:spacing w:before="1" w:line="218" w:lineRule="auto"/>
        <w:ind w:left="539"/>
        <w:rPr>
          <w:rFonts w:ascii="宋体" w:hAnsi="宋体" w:eastAsia="宋体" w:cs="宋体"/>
          <w:sz w:val="24"/>
          <w:szCs w:val="24"/>
        </w:rPr>
      </w:pPr>
      <w:r>
        <w:rPr>
          <w:rFonts w:ascii="宋体" w:hAnsi="宋体" w:eastAsia="宋体" w:cs="宋体"/>
          <w:spacing w:val="1"/>
          <w:sz w:val="24"/>
          <w:szCs w:val="24"/>
        </w:rPr>
        <w:t>1、以人为本、安全第一</w:t>
      </w:r>
    </w:p>
    <w:p w14:paraId="4B3FF85D">
      <w:pPr>
        <w:spacing w:before="177" w:line="364" w:lineRule="auto"/>
        <w:ind w:right="140" w:firstLine="539"/>
        <w:rPr>
          <w:rFonts w:ascii="宋体" w:hAnsi="宋体" w:eastAsia="宋体" w:cs="宋体"/>
          <w:sz w:val="24"/>
          <w:szCs w:val="24"/>
        </w:rPr>
      </w:pPr>
      <w:r>
        <w:rPr>
          <w:rFonts w:ascii="宋体" w:hAnsi="宋体" w:eastAsia="宋体" w:cs="宋体"/>
          <w:sz w:val="24"/>
          <w:szCs w:val="24"/>
        </w:rPr>
        <w:t>把最大程度地预防和减少水源保护区突发事故造</w:t>
      </w:r>
      <w:r>
        <w:rPr>
          <w:rFonts w:ascii="宋体" w:hAnsi="宋体" w:eastAsia="宋体" w:cs="宋体"/>
          <w:spacing w:val="-1"/>
          <w:sz w:val="24"/>
          <w:szCs w:val="24"/>
        </w:rPr>
        <w:t>成的人员伤亡作为首要任</w:t>
      </w:r>
      <w:r>
        <w:rPr>
          <w:rFonts w:ascii="宋体" w:hAnsi="宋体" w:eastAsia="宋体" w:cs="宋体"/>
          <w:sz w:val="24"/>
          <w:szCs w:val="24"/>
        </w:rPr>
        <w:t xml:space="preserve">  </w:t>
      </w:r>
      <w:r>
        <w:rPr>
          <w:rFonts w:ascii="宋体" w:hAnsi="宋体" w:eastAsia="宋体" w:cs="宋体"/>
          <w:spacing w:val="-2"/>
          <w:sz w:val="24"/>
          <w:szCs w:val="24"/>
        </w:rPr>
        <w:t>务，切实加强应急救援人员的安全防护。充分发挥受事故影响</w:t>
      </w:r>
      <w:r>
        <w:rPr>
          <w:rFonts w:ascii="宋体" w:hAnsi="宋体" w:eastAsia="宋体" w:cs="宋体"/>
          <w:spacing w:val="-3"/>
          <w:sz w:val="24"/>
          <w:szCs w:val="24"/>
        </w:rPr>
        <w:t>群众自我防护的主</w:t>
      </w:r>
      <w:r>
        <w:rPr>
          <w:rFonts w:ascii="宋体" w:hAnsi="宋体" w:eastAsia="宋体" w:cs="宋体"/>
          <w:sz w:val="24"/>
          <w:szCs w:val="24"/>
        </w:rPr>
        <w:t xml:space="preserve"> </w:t>
      </w:r>
      <w:r>
        <w:rPr>
          <w:rFonts w:ascii="宋体" w:hAnsi="宋体" w:eastAsia="宋体" w:cs="宋体"/>
          <w:spacing w:val="-1"/>
          <w:sz w:val="24"/>
          <w:szCs w:val="24"/>
        </w:rPr>
        <w:t>观能动性，充分发挥专业救援力量的骨干作用。</w:t>
      </w:r>
    </w:p>
    <w:p w14:paraId="317E44DF">
      <w:pPr>
        <w:spacing w:line="219" w:lineRule="auto"/>
        <w:ind w:left="669"/>
        <w:rPr>
          <w:rFonts w:ascii="宋体" w:hAnsi="宋体" w:eastAsia="宋体" w:cs="宋体"/>
          <w:sz w:val="24"/>
          <w:szCs w:val="24"/>
        </w:rPr>
      </w:pPr>
      <w:r>
        <w:rPr>
          <w:rFonts w:ascii="宋体" w:hAnsi="宋体" w:eastAsia="宋体" w:cs="宋体"/>
          <w:spacing w:val="1"/>
          <w:sz w:val="24"/>
          <w:szCs w:val="24"/>
        </w:rPr>
        <w:t>2、统一领导、分级负责</w:t>
      </w:r>
    </w:p>
    <w:p w14:paraId="46CC020B">
      <w:pPr>
        <w:spacing w:before="187" w:line="362" w:lineRule="auto"/>
        <w:ind w:right="104" w:firstLine="539"/>
        <w:jc w:val="both"/>
        <w:rPr>
          <w:rFonts w:ascii="宋体" w:hAnsi="宋体" w:eastAsia="宋体" w:cs="宋体"/>
          <w:sz w:val="24"/>
          <w:szCs w:val="24"/>
        </w:rPr>
      </w:pPr>
      <w:r>
        <w:rPr>
          <w:rFonts w:ascii="宋体" w:hAnsi="宋体" w:eastAsia="宋体" w:cs="宋体"/>
          <w:spacing w:val="-3"/>
          <w:sz w:val="24"/>
          <w:szCs w:val="24"/>
        </w:rPr>
        <w:t>在水源保护区突发事故应急指挥部统一领导下，各成员单位按照各自</w:t>
      </w:r>
      <w:r>
        <w:rPr>
          <w:rFonts w:ascii="宋体" w:hAnsi="宋体" w:eastAsia="宋体" w:cs="宋体"/>
          <w:spacing w:val="-4"/>
          <w:sz w:val="24"/>
          <w:szCs w:val="24"/>
        </w:rPr>
        <w:t>职责和</w:t>
      </w:r>
      <w:r>
        <w:rPr>
          <w:rFonts w:ascii="宋体" w:hAnsi="宋体" w:eastAsia="宋体" w:cs="宋体"/>
          <w:sz w:val="24"/>
          <w:szCs w:val="24"/>
        </w:rPr>
        <w:t xml:space="preserve"> </w:t>
      </w:r>
      <w:r>
        <w:rPr>
          <w:rFonts w:ascii="宋体" w:hAnsi="宋体" w:eastAsia="宋体" w:cs="宋体"/>
          <w:spacing w:val="-2"/>
          <w:sz w:val="24"/>
          <w:szCs w:val="24"/>
        </w:rPr>
        <w:t>权限，负责突发事故的应急管理和应急处置工作，各单位要认真履</w:t>
      </w:r>
      <w:r>
        <w:rPr>
          <w:rFonts w:ascii="宋体" w:hAnsi="宋体" w:eastAsia="宋体" w:cs="宋体"/>
          <w:spacing w:val="-3"/>
          <w:sz w:val="24"/>
          <w:szCs w:val="24"/>
        </w:rPr>
        <w:t>行安全生产责</w:t>
      </w:r>
      <w:r>
        <w:rPr>
          <w:rFonts w:ascii="宋体" w:hAnsi="宋体" w:eastAsia="宋体" w:cs="宋体"/>
          <w:sz w:val="24"/>
          <w:szCs w:val="24"/>
        </w:rPr>
        <w:t xml:space="preserve"> </w:t>
      </w:r>
      <w:r>
        <w:rPr>
          <w:rFonts w:ascii="宋体" w:hAnsi="宋体" w:eastAsia="宋体" w:cs="宋体"/>
          <w:spacing w:val="-1"/>
          <w:sz w:val="24"/>
          <w:szCs w:val="24"/>
        </w:rPr>
        <w:t>任主体的职责，建立健全安全生产应急工作机制。</w:t>
      </w:r>
    </w:p>
    <w:p w14:paraId="45016102">
      <w:pPr>
        <w:spacing w:line="362" w:lineRule="auto"/>
        <w:rPr>
          <w:rFonts w:ascii="宋体" w:hAnsi="宋体" w:eastAsia="宋体" w:cs="宋体"/>
          <w:sz w:val="24"/>
          <w:szCs w:val="24"/>
        </w:rPr>
        <w:sectPr>
          <w:footerReference r:id="rId8" w:type="default"/>
          <w:pgSz w:w="11910" w:h="16850"/>
          <w:pgMar w:top="1432" w:right="1786" w:bottom="1363" w:left="1660" w:header="0" w:footer="1201" w:gutter="0"/>
          <w:cols w:space="720" w:num="1"/>
        </w:sectPr>
      </w:pPr>
    </w:p>
    <w:p w14:paraId="44684C63">
      <w:pPr>
        <w:spacing w:before="47" w:line="219" w:lineRule="auto"/>
        <w:ind w:left="479"/>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、充分准备、科学求援</w:t>
      </w:r>
    </w:p>
    <w:p w14:paraId="5E1CFCD3">
      <w:pPr>
        <w:spacing w:before="196" w:line="358" w:lineRule="auto"/>
        <w:ind w:right="162" w:firstLine="479"/>
        <w:rPr>
          <w:rFonts w:ascii="宋体" w:hAnsi="宋体" w:eastAsia="宋体" w:cs="宋体"/>
          <w:sz w:val="24"/>
          <w:szCs w:val="24"/>
        </w:rPr>
      </w:pPr>
      <w:r>
        <w:rPr>
          <w:rFonts w:ascii="宋体" w:hAnsi="宋体" w:eastAsia="宋体" w:cs="宋体"/>
          <w:spacing w:val="-2"/>
          <w:sz w:val="24"/>
          <w:szCs w:val="24"/>
        </w:rPr>
        <w:t>采用先进技术，充分发挥专家作用，实行科学民主决策，采用先进的救援装</w:t>
      </w:r>
      <w:r>
        <w:rPr>
          <w:rFonts w:ascii="宋体" w:hAnsi="宋体" w:eastAsia="宋体" w:cs="宋体"/>
          <w:spacing w:val="6"/>
          <w:sz w:val="24"/>
          <w:szCs w:val="24"/>
        </w:rPr>
        <w:t xml:space="preserve"> </w:t>
      </w:r>
      <w:r>
        <w:rPr>
          <w:rFonts w:ascii="宋体" w:hAnsi="宋体" w:eastAsia="宋体" w:cs="宋体"/>
          <w:sz w:val="24"/>
          <w:szCs w:val="24"/>
        </w:rPr>
        <w:t>备和技术，增强应急救援能力，确保应急救援的科学、及时、有</w:t>
      </w:r>
      <w:r>
        <w:rPr>
          <w:rFonts w:ascii="宋体" w:hAnsi="宋体" w:eastAsia="宋体" w:cs="宋体"/>
          <w:spacing w:val="-1"/>
          <w:sz w:val="24"/>
          <w:szCs w:val="24"/>
        </w:rPr>
        <w:t>效。</w:t>
      </w:r>
    </w:p>
    <w:p w14:paraId="22082A7A">
      <w:pPr>
        <w:spacing w:line="220" w:lineRule="auto"/>
        <w:ind w:left="479"/>
        <w:rPr>
          <w:rFonts w:ascii="宋体" w:hAnsi="宋体" w:eastAsia="宋体" w:cs="宋体"/>
          <w:sz w:val="24"/>
          <w:szCs w:val="24"/>
        </w:rPr>
      </w:pPr>
      <w:r>
        <w:rPr>
          <w:rFonts w:ascii="宋体" w:hAnsi="宋体" w:eastAsia="宋体" w:cs="宋体"/>
          <w:spacing w:val="1"/>
          <w:sz w:val="24"/>
          <w:szCs w:val="24"/>
        </w:rPr>
        <w:t>4、预防为主、平战结合</w:t>
      </w:r>
    </w:p>
    <w:p w14:paraId="02E4E39E">
      <w:pPr>
        <w:spacing w:before="209" w:line="348" w:lineRule="auto"/>
        <w:ind w:right="53" w:firstLine="479"/>
        <w:rPr>
          <w:rFonts w:ascii="宋体" w:hAnsi="宋体" w:eastAsia="宋体" w:cs="宋体"/>
          <w:sz w:val="24"/>
          <w:szCs w:val="24"/>
        </w:rPr>
      </w:pPr>
      <w:r>
        <w:rPr>
          <w:rFonts w:ascii="宋体" w:hAnsi="宋体" w:eastAsia="宋体" w:cs="宋体"/>
          <w:spacing w:val="-6"/>
          <w:sz w:val="24"/>
          <w:szCs w:val="24"/>
        </w:rPr>
        <w:t>坚持预防为主的方针，做好预防、预测和预警工作。做好常态下的风险评估、</w:t>
      </w:r>
      <w:r>
        <w:rPr>
          <w:rFonts w:ascii="宋体" w:hAnsi="宋体" w:eastAsia="宋体" w:cs="宋体"/>
          <w:spacing w:val="12"/>
          <w:sz w:val="24"/>
          <w:szCs w:val="24"/>
        </w:rPr>
        <w:t xml:space="preserve"> </w:t>
      </w:r>
      <w:r>
        <w:rPr>
          <w:rFonts w:ascii="宋体" w:hAnsi="宋体" w:eastAsia="宋体" w:cs="宋体"/>
          <w:spacing w:val="-2"/>
          <w:sz w:val="24"/>
          <w:szCs w:val="24"/>
        </w:rPr>
        <w:t>物资储备、队伍建设等工作，加强环境应急管理人员和应急处置队伍培训，积极</w:t>
      </w:r>
      <w:r>
        <w:rPr>
          <w:rFonts w:ascii="宋体" w:hAnsi="宋体" w:eastAsia="宋体" w:cs="宋体"/>
          <w:spacing w:val="4"/>
          <w:sz w:val="24"/>
          <w:szCs w:val="24"/>
        </w:rPr>
        <w:t xml:space="preserve">  </w:t>
      </w:r>
      <w:r>
        <w:rPr>
          <w:rFonts w:ascii="宋体" w:hAnsi="宋体" w:eastAsia="宋体" w:cs="宋体"/>
          <w:spacing w:val="-2"/>
          <w:sz w:val="24"/>
          <w:szCs w:val="24"/>
        </w:rPr>
        <w:t>开展突发环境事件应急预案演练，掌握第一时间处置突发环境事件技能，全面提</w:t>
      </w:r>
      <w:r>
        <w:rPr>
          <w:rFonts w:ascii="宋体" w:hAnsi="宋体" w:eastAsia="宋体" w:cs="宋体"/>
          <w:spacing w:val="4"/>
          <w:sz w:val="24"/>
          <w:szCs w:val="24"/>
        </w:rPr>
        <w:t xml:space="preserve">  </w:t>
      </w:r>
      <w:r>
        <w:rPr>
          <w:rFonts w:ascii="宋体" w:hAnsi="宋体" w:eastAsia="宋体" w:cs="宋体"/>
          <w:spacing w:val="-4"/>
          <w:sz w:val="24"/>
          <w:szCs w:val="24"/>
        </w:rPr>
        <w:t>高快速反应能力。</w:t>
      </w:r>
    </w:p>
    <w:p w14:paraId="19D75A24">
      <w:pPr>
        <w:spacing w:before="44" w:line="219" w:lineRule="auto"/>
        <w:ind w:left="479"/>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、部门联动，地域合作</w:t>
      </w:r>
    </w:p>
    <w:p w14:paraId="1B9B1D5E">
      <w:pPr>
        <w:spacing w:before="193" w:line="350" w:lineRule="auto"/>
        <w:ind w:right="159" w:firstLine="479"/>
        <w:rPr>
          <w:rFonts w:ascii="宋体" w:hAnsi="宋体" w:eastAsia="宋体" w:cs="宋体"/>
          <w:sz w:val="24"/>
          <w:szCs w:val="24"/>
        </w:rPr>
      </w:pPr>
      <w:r>
        <w:rPr>
          <w:rFonts w:ascii="宋体" w:hAnsi="宋体" w:eastAsia="宋体" w:cs="宋体"/>
          <w:spacing w:val="-2"/>
          <w:sz w:val="24"/>
          <w:szCs w:val="24"/>
        </w:rPr>
        <w:t>建立和完善包头市石拐区所属各部门</w:t>
      </w:r>
      <w:r>
        <w:rPr>
          <w:rFonts w:ascii="宋体" w:hAnsi="宋体" w:eastAsia="宋体" w:cs="宋体"/>
          <w:color w:val="606070"/>
          <w:spacing w:val="-2"/>
          <w:sz w:val="24"/>
          <w:szCs w:val="24"/>
        </w:rPr>
        <w:t>单位的联动机制，</w:t>
      </w:r>
      <w:r>
        <w:rPr>
          <w:rFonts w:ascii="宋体" w:hAnsi="宋体" w:eastAsia="宋体" w:cs="宋体"/>
          <w:spacing w:val="-2"/>
          <w:sz w:val="24"/>
          <w:szCs w:val="24"/>
        </w:rPr>
        <w:t>充分发挥部门专业优</w:t>
      </w:r>
      <w:r>
        <w:rPr>
          <w:rFonts w:ascii="宋体" w:hAnsi="宋体" w:eastAsia="宋体" w:cs="宋体"/>
          <w:spacing w:val="5"/>
          <w:sz w:val="24"/>
          <w:szCs w:val="24"/>
        </w:rPr>
        <w:t xml:space="preserve"> </w:t>
      </w:r>
      <w:r>
        <w:rPr>
          <w:rFonts w:ascii="宋体" w:hAnsi="宋体" w:eastAsia="宋体" w:cs="宋体"/>
          <w:spacing w:val="2"/>
          <w:sz w:val="24"/>
          <w:szCs w:val="24"/>
        </w:rPr>
        <w:t>势和专业应急力量作用，引导、鼓励实现“一专多能”,在发生</w:t>
      </w:r>
      <w:r>
        <w:rPr>
          <w:rFonts w:ascii="宋体" w:hAnsi="宋体" w:eastAsia="宋体" w:cs="宋体"/>
          <w:spacing w:val="1"/>
          <w:sz w:val="24"/>
          <w:szCs w:val="24"/>
        </w:rPr>
        <w:t>突发环境事件时</w:t>
      </w:r>
      <w:r>
        <w:rPr>
          <w:rFonts w:ascii="宋体" w:hAnsi="宋体" w:eastAsia="宋体" w:cs="宋体"/>
          <w:sz w:val="24"/>
          <w:szCs w:val="24"/>
        </w:rPr>
        <w:t xml:space="preserve"> </w:t>
      </w:r>
      <w:r>
        <w:rPr>
          <w:rFonts w:ascii="宋体" w:hAnsi="宋体" w:eastAsia="宋体" w:cs="宋体"/>
          <w:spacing w:val="-2"/>
          <w:sz w:val="24"/>
          <w:szCs w:val="24"/>
        </w:rPr>
        <w:t>能及时响应，共同应对；</w:t>
      </w:r>
      <w:r>
        <w:rPr>
          <w:rFonts w:ascii="宋体" w:hAnsi="宋体" w:eastAsia="宋体" w:cs="宋体"/>
          <w:color w:val="606070"/>
          <w:spacing w:val="-2"/>
          <w:sz w:val="24"/>
          <w:szCs w:val="24"/>
        </w:rPr>
        <w:t>加强各相关部门的协作配合，建立区域间的应急动员机</w:t>
      </w:r>
      <w:r>
        <w:rPr>
          <w:rFonts w:ascii="宋体" w:hAnsi="宋体" w:eastAsia="宋体" w:cs="宋体"/>
          <w:color w:val="606070"/>
          <w:spacing w:val="8"/>
          <w:sz w:val="24"/>
          <w:szCs w:val="24"/>
        </w:rPr>
        <w:t xml:space="preserve"> </w:t>
      </w:r>
      <w:r>
        <w:rPr>
          <w:rFonts w:ascii="宋体" w:hAnsi="宋体" w:eastAsia="宋体" w:cs="宋体"/>
          <w:spacing w:val="-1"/>
          <w:sz w:val="24"/>
          <w:szCs w:val="24"/>
        </w:rPr>
        <w:t>制，充实应急队伍，</w:t>
      </w:r>
      <w:r>
        <w:rPr>
          <w:rFonts w:ascii="宋体" w:hAnsi="宋体" w:eastAsia="宋体" w:cs="宋体"/>
          <w:color w:val="606070"/>
          <w:spacing w:val="-1"/>
          <w:sz w:val="24"/>
          <w:szCs w:val="24"/>
        </w:rPr>
        <w:t>提高应急响应能力。</w:t>
      </w:r>
    </w:p>
    <w:p w14:paraId="5A924CE7">
      <w:pPr>
        <w:spacing w:line="350" w:lineRule="auto"/>
        <w:rPr>
          <w:rFonts w:ascii="宋体" w:hAnsi="宋体" w:eastAsia="宋体" w:cs="宋体"/>
          <w:sz w:val="24"/>
          <w:szCs w:val="24"/>
        </w:rPr>
        <w:sectPr>
          <w:footerReference r:id="rId9" w:type="default"/>
          <w:pgSz w:w="11910" w:h="16850"/>
          <w:pgMar w:top="1410" w:right="1786" w:bottom="1486" w:left="1619" w:header="0" w:footer="1309" w:gutter="0"/>
          <w:cols w:space="720" w:num="1"/>
        </w:sectPr>
      </w:pPr>
    </w:p>
    <w:p w14:paraId="44FD2013">
      <w:pPr>
        <w:spacing w:before="276" w:line="219" w:lineRule="auto"/>
        <w:ind w:left="4"/>
        <w:outlineLvl w:val="0"/>
        <w:rPr>
          <w:rFonts w:ascii="宋体" w:hAnsi="宋体" w:eastAsia="宋体" w:cs="宋体"/>
          <w:sz w:val="33"/>
          <w:szCs w:val="33"/>
        </w:rPr>
      </w:pPr>
      <w:bookmarkStart w:id="15" w:name="bookmark12"/>
      <w:bookmarkEnd w:id="15"/>
      <w:r>
        <w:rPr>
          <w:rFonts w:ascii="宋体" w:hAnsi="宋体" w:eastAsia="宋体" w:cs="宋体"/>
          <w:b/>
          <w:bCs/>
          <w:spacing w:val="-20"/>
          <w:sz w:val="33"/>
          <w:szCs w:val="33"/>
        </w:rPr>
        <w:t>2石拐区饮用水水源地环境状况</w:t>
      </w:r>
    </w:p>
    <w:p w14:paraId="2454A44F">
      <w:pPr>
        <w:spacing w:before="208" w:line="219" w:lineRule="auto"/>
        <w:ind w:left="4"/>
        <w:outlineLvl w:val="1"/>
        <w:rPr>
          <w:rFonts w:ascii="宋体" w:hAnsi="宋体" w:eastAsia="宋体" w:cs="宋体"/>
          <w:sz w:val="31"/>
          <w:szCs w:val="31"/>
        </w:rPr>
      </w:pPr>
      <w:bookmarkStart w:id="16" w:name="bookmark13"/>
      <w:bookmarkEnd w:id="16"/>
      <w:r>
        <w:rPr>
          <w:rFonts w:ascii="宋体" w:hAnsi="宋体" w:eastAsia="宋体" w:cs="宋体"/>
          <w:b/>
          <w:bCs/>
          <w:color w:val="606070"/>
          <w:spacing w:val="-25"/>
          <w:sz w:val="31"/>
          <w:szCs w:val="31"/>
        </w:rPr>
        <w:t>2.1石拐区饮用水水源地所在区域的自然状况</w:t>
      </w:r>
    </w:p>
    <w:p w14:paraId="4381099D">
      <w:pPr>
        <w:spacing w:before="220" w:line="219" w:lineRule="auto"/>
        <w:outlineLvl w:val="2"/>
        <w:rPr>
          <w:rFonts w:ascii="宋体" w:hAnsi="宋体" w:eastAsia="宋体" w:cs="宋体"/>
          <w:sz w:val="25"/>
          <w:szCs w:val="25"/>
        </w:rPr>
      </w:pPr>
      <w:bookmarkStart w:id="17" w:name="bookmark14"/>
      <w:bookmarkEnd w:id="17"/>
      <w:r>
        <w:rPr>
          <w:rFonts w:ascii="宋体" w:hAnsi="宋体" w:eastAsia="宋体" w:cs="宋体"/>
          <w:spacing w:val="-1"/>
          <w:sz w:val="25"/>
          <w:szCs w:val="25"/>
        </w:rPr>
        <w:t>2.1.</w:t>
      </w:r>
      <w:r>
        <w:rPr>
          <w:rFonts w:ascii="宋体" w:hAnsi="宋体" w:eastAsia="宋体" w:cs="宋体"/>
          <w:b/>
          <w:bCs/>
          <w:spacing w:val="-1"/>
          <w:sz w:val="25"/>
          <w:szCs w:val="25"/>
        </w:rPr>
        <w:t>1区域自然状况</w:t>
      </w:r>
    </w:p>
    <w:p w14:paraId="4DD114FF">
      <w:pPr>
        <w:spacing w:before="187" w:line="221" w:lineRule="auto"/>
        <w:ind w:left="619"/>
        <w:rPr>
          <w:rFonts w:ascii="宋体" w:hAnsi="宋体" w:eastAsia="宋体" w:cs="宋体"/>
          <w:sz w:val="23"/>
          <w:szCs w:val="23"/>
        </w:rPr>
      </w:pPr>
      <w:r>
        <w:rPr>
          <w:rFonts w:ascii="宋体" w:hAnsi="宋体" w:eastAsia="宋体" w:cs="宋体"/>
          <w:spacing w:val="2"/>
          <w:sz w:val="23"/>
          <w:szCs w:val="23"/>
        </w:rPr>
        <w:t>(1)</w:t>
      </w:r>
      <w:r>
        <w:rPr>
          <w:rFonts w:ascii="宋体" w:hAnsi="宋体" w:eastAsia="宋体" w:cs="宋体"/>
          <w:spacing w:val="53"/>
          <w:sz w:val="23"/>
          <w:szCs w:val="23"/>
        </w:rPr>
        <w:t xml:space="preserve"> </w:t>
      </w:r>
      <w:r>
        <w:rPr>
          <w:rFonts w:ascii="宋体" w:hAnsi="宋体" w:eastAsia="宋体" w:cs="宋体"/>
          <w:spacing w:val="2"/>
          <w:sz w:val="23"/>
          <w:szCs w:val="23"/>
        </w:rPr>
        <w:t>地理位置</w:t>
      </w:r>
    </w:p>
    <w:p w14:paraId="75FC361D">
      <w:pPr>
        <w:spacing w:before="194" w:line="361" w:lineRule="auto"/>
        <w:ind w:right="92" w:firstLine="499"/>
        <w:rPr>
          <w:rFonts w:ascii="宋体" w:hAnsi="宋体" w:eastAsia="宋体" w:cs="宋体"/>
          <w:sz w:val="24"/>
          <w:szCs w:val="24"/>
        </w:rPr>
      </w:pPr>
      <w:r>
        <w:rPr>
          <w:rFonts w:ascii="宋体" w:hAnsi="宋体" w:eastAsia="宋体" w:cs="宋体"/>
          <w:spacing w:val="-2"/>
          <w:sz w:val="24"/>
          <w:szCs w:val="24"/>
        </w:rPr>
        <w:t>包头市位于内蒙古自治区中西部，南与鄂尔</w:t>
      </w:r>
      <w:r>
        <w:rPr>
          <w:rFonts w:ascii="宋体" w:hAnsi="宋体" w:eastAsia="宋体" w:cs="宋体"/>
          <w:spacing w:val="-3"/>
          <w:sz w:val="24"/>
          <w:szCs w:val="24"/>
        </w:rPr>
        <w:t>多斯市隔黄河相望，东西接沃野</w:t>
      </w:r>
      <w:r>
        <w:rPr>
          <w:rFonts w:ascii="宋体" w:hAnsi="宋体" w:eastAsia="宋体" w:cs="宋体"/>
          <w:sz w:val="24"/>
          <w:szCs w:val="24"/>
        </w:rPr>
        <w:t xml:space="preserve"> 千里的土默特川平原和河套平原，阴山山脉横贯中</w:t>
      </w:r>
      <w:r>
        <w:rPr>
          <w:rFonts w:ascii="宋体" w:hAnsi="宋体" w:eastAsia="宋体" w:cs="宋体"/>
          <w:spacing w:val="-1"/>
          <w:sz w:val="24"/>
          <w:szCs w:val="24"/>
        </w:rPr>
        <w:t>部。</w:t>
      </w:r>
    </w:p>
    <w:p w14:paraId="418289FF">
      <w:pPr>
        <w:pStyle w:val="2"/>
        <w:spacing w:before="3" w:line="355" w:lineRule="auto"/>
        <w:ind w:right="114" w:firstLine="499"/>
        <w:rPr>
          <w:rFonts w:ascii="宋体" w:hAnsi="宋体" w:eastAsia="宋体" w:cs="宋体"/>
          <w:sz w:val="24"/>
          <w:szCs w:val="24"/>
        </w:rPr>
      </w:pPr>
      <w:r>
        <w:rPr>
          <w:rFonts w:ascii="宋体" w:hAnsi="宋体" w:eastAsia="宋体" w:cs="宋体"/>
          <w:sz w:val="24"/>
          <w:szCs w:val="24"/>
        </w:rPr>
        <w:t>石拐区位于包头市区东北方向，阴山南麓，大青山西南山岳间，区域面积</w:t>
      </w:r>
      <w:r>
        <w:rPr>
          <w:rFonts w:ascii="宋体" w:hAnsi="宋体" w:eastAsia="宋体" w:cs="宋体"/>
          <w:spacing w:val="7"/>
          <w:sz w:val="24"/>
          <w:szCs w:val="24"/>
        </w:rPr>
        <w:t xml:space="preserve">  </w:t>
      </w:r>
      <w:r>
        <w:rPr>
          <w:rFonts w:ascii="宋体" w:hAnsi="宋体" w:eastAsia="宋体" w:cs="宋体"/>
          <w:spacing w:val="1"/>
          <w:sz w:val="24"/>
          <w:szCs w:val="24"/>
        </w:rPr>
        <w:t>761平方公里，是内蒙古开发最早的煤炭矿区，也是包头市工业用</w:t>
      </w:r>
      <w:r>
        <w:rPr>
          <w:rFonts w:ascii="宋体" w:hAnsi="宋体" w:eastAsia="宋体" w:cs="宋体"/>
          <w:sz w:val="24"/>
          <w:szCs w:val="24"/>
        </w:rPr>
        <w:t xml:space="preserve">煤和耐火粘土 </w:t>
      </w:r>
      <w:r>
        <w:rPr>
          <w:rFonts w:ascii="宋体" w:hAnsi="宋体" w:eastAsia="宋体" w:cs="宋体"/>
          <w:spacing w:val="-9"/>
          <w:sz w:val="24"/>
          <w:szCs w:val="24"/>
        </w:rPr>
        <w:t>的主要供应地，地理坐标为东经110°14′-110°2</w:t>
      </w:r>
      <w:r>
        <w:rPr>
          <w:rFonts w:ascii="宋体" w:hAnsi="宋体" w:eastAsia="宋体" w:cs="宋体"/>
          <w:spacing w:val="-10"/>
          <w:sz w:val="24"/>
          <w:szCs w:val="24"/>
        </w:rPr>
        <w:t>8′,</w:t>
      </w:r>
      <w:r>
        <w:rPr>
          <w:spacing w:val="-10"/>
          <w:sz w:val="24"/>
          <w:szCs w:val="24"/>
        </w:rPr>
        <w:t>北纬40°37′-40°45′。石</w:t>
      </w:r>
      <w:r>
        <w:rPr>
          <w:sz w:val="24"/>
          <w:szCs w:val="24"/>
        </w:rPr>
        <w:t xml:space="preserve"> </w:t>
      </w:r>
      <w:r>
        <w:rPr>
          <w:rFonts w:ascii="宋体" w:hAnsi="宋体" w:eastAsia="宋体" w:cs="宋体"/>
          <w:spacing w:val="5"/>
          <w:sz w:val="24"/>
          <w:szCs w:val="24"/>
        </w:rPr>
        <w:t>拐新区作为石拐区规划建设的政治、经济、文化中心，规划面积14.64平方公</w:t>
      </w:r>
      <w:r>
        <w:rPr>
          <w:rFonts w:ascii="宋体" w:hAnsi="宋体" w:eastAsia="宋体" w:cs="宋体"/>
          <w:spacing w:val="3"/>
          <w:sz w:val="24"/>
          <w:szCs w:val="24"/>
        </w:rPr>
        <w:t xml:space="preserve"> </w:t>
      </w:r>
      <w:r>
        <w:rPr>
          <w:rFonts w:ascii="宋体" w:hAnsi="宋体" w:eastAsia="宋体" w:cs="宋体"/>
          <w:spacing w:val="-7"/>
          <w:sz w:val="24"/>
          <w:szCs w:val="24"/>
        </w:rPr>
        <w:t>里。</w:t>
      </w:r>
    </w:p>
    <w:p w14:paraId="3DAF0689">
      <w:pPr>
        <w:spacing w:before="1" w:line="218" w:lineRule="auto"/>
        <w:ind w:left="499"/>
        <w:rPr>
          <w:rFonts w:ascii="宋体" w:hAnsi="宋体" w:eastAsia="宋体" w:cs="宋体"/>
          <w:sz w:val="26"/>
          <w:szCs w:val="26"/>
        </w:rPr>
      </w:pPr>
      <w:r>
        <w:rPr>
          <w:rFonts w:ascii="宋体" w:hAnsi="宋体" w:eastAsia="宋体" w:cs="宋体"/>
          <w:spacing w:val="-19"/>
          <w:sz w:val="26"/>
          <w:szCs w:val="26"/>
        </w:rPr>
        <w:t>石拐水源地1#井位于包头市石拐区大青山以南的五当沟中游的河</w:t>
      </w:r>
      <w:r>
        <w:rPr>
          <w:rFonts w:ascii="宋体" w:hAnsi="宋体" w:eastAsia="宋体" w:cs="宋体"/>
          <w:spacing w:val="-20"/>
          <w:sz w:val="26"/>
          <w:szCs w:val="26"/>
        </w:rPr>
        <w:t>岸边。</w:t>
      </w:r>
    </w:p>
    <w:p w14:paraId="52DB4EAD">
      <w:pPr>
        <w:spacing w:before="180" w:line="219" w:lineRule="auto"/>
        <w:ind w:left="629"/>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43"/>
          <w:sz w:val="23"/>
          <w:szCs w:val="23"/>
        </w:rPr>
        <w:t xml:space="preserve"> </w:t>
      </w:r>
      <w:r>
        <w:rPr>
          <w:rFonts w:ascii="宋体" w:hAnsi="宋体" w:eastAsia="宋体" w:cs="宋体"/>
          <w:spacing w:val="2"/>
          <w:sz w:val="23"/>
          <w:szCs w:val="23"/>
        </w:rPr>
        <w:t>地形地貌</w:t>
      </w:r>
    </w:p>
    <w:p w14:paraId="70ED6D3A">
      <w:pPr>
        <w:spacing w:before="207" w:line="355" w:lineRule="auto"/>
        <w:ind w:right="33" w:firstLine="499"/>
        <w:rPr>
          <w:rFonts w:ascii="宋体" w:hAnsi="宋体" w:eastAsia="宋体" w:cs="宋体"/>
          <w:sz w:val="24"/>
          <w:szCs w:val="24"/>
        </w:rPr>
      </w:pPr>
      <w:r>
        <w:rPr>
          <w:rFonts w:ascii="宋体" w:hAnsi="宋体" w:eastAsia="宋体" w:cs="宋体"/>
          <w:spacing w:val="-2"/>
          <w:sz w:val="24"/>
          <w:szCs w:val="24"/>
        </w:rPr>
        <w:t>石拐区地处大青山西段，地貌上为中低山丘陵山地，南北两</w:t>
      </w:r>
      <w:r>
        <w:rPr>
          <w:rFonts w:ascii="宋体" w:hAnsi="宋体" w:eastAsia="宋体" w:cs="宋体"/>
          <w:spacing w:val="-3"/>
          <w:sz w:val="24"/>
          <w:szCs w:val="24"/>
        </w:rPr>
        <w:t>侧是以太古界片</w:t>
      </w:r>
      <w:r>
        <w:rPr>
          <w:rFonts w:ascii="宋体" w:hAnsi="宋体" w:eastAsia="宋体" w:cs="宋体"/>
          <w:sz w:val="24"/>
          <w:szCs w:val="24"/>
        </w:rPr>
        <w:t xml:space="preserve"> </w:t>
      </w:r>
      <w:r>
        <w:rPr>
          <w:rFonts w:ascii="宋体" w:hAnsi="宋体" w:eastAsia="宋体" w:cs="宋体"/>
          <w:spacing w:val="-3"/>
          <w:sz w:val="24"/>
          <w:szCs w:val="24"/>
        </w:rPr>
        <w:t>麻岩为主的中山地带，区内地势北缓南陡，地域狭长。境内最高山峰海拔185</w:t>
      </w:r>
      <w:r>
        <w:rPr>
          <w:rFonts w:ascii="宋体" w:hAnsi="宋体" w:eastAsia="宋体" w:cs="宋体"/>
          <w:spacing w:val="-4"/>
          <w:sz w:val="24"/>
          <w:szCs w:val="24"/>
        </w:rPr>
        <w:t>6</w:t>
      </w:r>
      <w:r>
        <w:rPr>
          <w:rFonts w:ascii="Times New Roman" w:hAnsi="Times New Roman" w:eastAsia="Times New Roman" w:cs="Times New Roman"/>
          <w:spacing w:val="-4"/>
          <w:sz w:val="24"/>
          <w:szCs w:val="24"/>
        </w:rPr>
        <w:t>m,</w:t>
      </w:r>
      <w:r>
        <w:rPr>
          <w:rFonts w:ascii="Times New Roman" w:hAnsi="Times New Roman" w:eastAsia="Times New Roman" w:cs="Times New Roman"/>
          <w:sz w:val="24"/>
          <w:szCs w:val="24"/>
        </w:rPr>
        <w:t xml:space="preserve">   </w:t>
      </w:r>
      <w:r>
        <w:rPr>
          <w:rFonts w:ascii="宋体" w:hAnsi="宋体" w:eastAsia="宋体" w:cs="宋体"/>
          <w:spacing w:val="1"/>
          <w:sz w:val="24"/>
          <w:szCs w:val="24"/>
        </w:rPr>
        <w:t>最低点1150</w:t>
      </w:r>
      <w:r>
        <w:rPr>
          <w:rFonts w:ascii="Times New Roman" w:hAnsi="Times New Roman" w:eastAsia="Times New Roman" w:cs="Times New Roman"/>
          <w:spacing w:val="1"/>
          <w:sz w:val="24"/>
          <w:szCs w:val="24"/>
        </w:rPr>
        <w:t>m</w:t>
      </w:r>
      <w:r>
        <w:rPr>
          <w:rFonts w:ascii="宋体" w:hAnsi="宋体" w:eastAsia="宋体" w:cs="宋体"/>
          <w:spacing w:val="1"/>
          <w:sz w:val="24"/>
          <w:szCs w:val="24"/>
        </w:rPr>
        <w:t>。山脉走向多为东西向，河沟多为南北穿越。根据形态分布特征，</w:t>
      </w:r>
      <w:r>
        <w:rPr>
          <w:rFonts w:ascii="宋体" w:hAnsi="宋体" w:eastAsia="宋体" w:cs="宋体"/>
          <w:spacing w:val="15"/>
          <w:sz w:val="24"/>
          <w:szCs w:val="24"/>
        </w:rPr>
        <w:t xml:space="preserve"> </w:t>
      </w:r>
      <w:r>
        <w:rPr>
          <w:rFonts w:ascii="宋体" w:hAnsi="宋体" w:eastAsia="宋体" w:cs="宋体"/>
          <w:spacing w:val="-3"/>
          <w:sz w:val="24"/>
          <w:szCs w:val="24"/>
        </w:rPr>
        <w:t>可分为中山、低山丘陵和河谷、阶地。</w:t>
      </w:r>
    </w:p>
    <w:p w14:paraId="2112A262">
      <w:pPr>
        <w:spacing w:before="3" w:line="219" w:lineRule="auto"/>
        <w:ind w:left="3"/>
        <w:outlineLvl w:val="2"/>
        <w:rPr>
          <w:rFonts w:ascii="宋体" w:hAnsi="宋体" w:eastAsia="宋体" w:cs="宋体"/>
          <w:sz w:val="26"/>
          <w:szCs w:val="26"/>
        </w:rPr>
      </w:pPr>
      <w:bookmarkStart w:id="18" w:name="bookmark15"/>
      <w:bookmarkEnd w:id="18"/>
      <w:r>
        <w:rPr>
          <w:rFonts w:ascii="宋体" w:hAnsi="宋体" w:eastAsia="宋体" w:cs="宋体"/>
          <w:b/>
          <w:bCs/>
          <w:spacing w:val="-15"/>
          <w:sz w:val="26"/>
          <w:szCs w:val="26"/>
        </w:rPr>
        <w:t>2.1.2流域自然状况及水文地质特征</w:t>
      </w:r>
    </w:p>
    <w:p w14:paraId="678721F6">
      <w:pPr>
        <w:spacing w:before="183" w:line="348" w:lineRule="auto"/>
        <w:ind w:right="63" w:firstLine="499"/>
        <w:rPr>
          <w:rFonts w:ascii="宋体" w:hAnsi="宋体" w:eastAsia="宋体" w:cs="宋体"/>
          <w:sz w:val="24"/>
          <w:szCs w:val="24"/>
        </w:rPr>
      </w:pPr>
      <w:r>
        <w:rPr>
          <w:rFonts w:ascii="宋体" w:hAnsi="宋体" w:eastAsia="宋体" w:cs="宋体"/>
          <w:spacing w:val="-3"/>
          <w:sz w:val="24"/>
          <w:szCs w:val="24"/>
        </w:rPr>
        <w:t>石拐区的河流水系可分为地表水和地下水两部分，地表水和地下水</w:t>
      </w:r>
      <w:r>
        <w:rPr>
          <w:rFonts w:ascii="宋体" w:hAnsi="宋体" w:eastAsia="宋体" w:cs="宋体"/>
          <w:spacing w:val="-4"/>
          <w:sz w:val="24"/>
          <w:szCs w:val="24"/>
        </w:rPr>
        <w:t>都受降雨</w:t>
      </w:r>
      <w:r>
        <w:rPr>
          <w:rFonts w:ascii="宋体" w:hAnsi="宋体" w:eastAsia="宋体" w:cs="宋体"/>
          <w:sz w:val="24"/>
          <w:szCs w:val="24"/>
        </w:rPr>
        <w:t xml:space="preserve"> </w:t>
      </w:r>
      <w:r>
        <w:rPr>
          <w:rFonts w:ascii="宋体" w:hAnsi="宋体" w:eastAsia="宋体" w:cs="宋体"/>
          <w:spacing w:val="-1"/>
          <w:sz w:val="24"/>
          <w:szCs w:val="24"/>
        </w:rPr>
        <w:t>量影响极不平衡。石拐区内地表水系发育均属于外流水系，主要河沟有五当沟，</w:t>
      </w:r>
      <w:r>
        <w:rPr>
          <w:rFonts w:ascii="宋体" w:hAnsi="宋体" w:eastAsia="宋体" w:cs="宋体"/>
          <w:spacing w:val="3"/>
          <w:sz w:val="24"/>
          <w:szCs w:val="24"/>
        </w:rPr>
        <w:t xml:space="preserve"> </w:t>
      </w:r>
      <w:r>
        <w:rPr>
          <w:rFonts w:ascii="宋体" w:hAnsi="宋体" w:eastAsia="宋体" w:cs="宋体"/>
          <w:spacing w:val="1"/>
          <w:sz w:val="24"/>
          <w:szCs w:val="24"/>
        </w:rPr>
        <w:t>属黄河左岸一级支流。五当沟主沟全长约7</w:t>
      </w:r>
      <w:r>
        <w:rPr>
          <w:rFonts w:ascii="宋体" w:hAnsi="宋体" w:eastAsia="宋体" w:cs="宋体"/>
          <w:sz w:val="24"/>
          <w:szCs w:val="24"/>
        </w:rPr>
        <w:t>8</w:t>
      </w:r>
      <w:r>
        <w:rPr>
          <w:rFonts w:ascii="Times New Roman" w:hAnsi="Times New Roman" w:eastAsia="Times New Roman" w:cs="Times New Roman"/>
          <w:sz w:val="24"/>
          <w:szCs w:val="24"/>
        </w:rPr>
        <w:t>km,</w:t>
      </w:r>
      <w:r>
        <w:rPr>
          <w:rFonts w:ascii="Times New Roman" w:hAnsi="Times New Roman" w:eastAsia="Times New Roman" w:cs="Times New Roman"/>
          <w:spacing w:val="55"/>
          <w:w w:val="101"/>
          <w:sz w:val="24"/>
          <w:szCs w:val="24"/>
        </w:rPr>
        <w:t xml:space="preserve"> </w:t>
      </w:r>
      <w:r>
        <w:rPr>
          <w:rFonts w:ascii="宋体" w:hAnsi="宋体" w:eastAsia="宋体" w:cs="宋体"/>
          <w:sz w:val="24"/>
          <w:szCs w:val="24"/>
        </w:rPr>
        <w:t>发源于固阳县新建乡头道井，</w:t>
      </w:r>
    </w:p>
    <w:p w14:paraId="43BADC57">
      <w:pPr>
        <w:pStyle w:val="2"/>
        <w:spacing w:before="11" w:line="354" w:lineRule="auto"/>
        <w:ind w:right="104"/>
        <w:rPr>
          <w:rFonts w:ascii="宋体" w:hAnsi="宋体" w:eastAsia="宋体" w:cs="宋体"/>
          <w:sz w:val="24"/>
          <w:szCs w:val="24"/>
        </w:rPr>
      </w:pPr>
      <w:r>
        <w:rPr>
          <w:rFonts w:ascii="宋体" w:hAnsi="宋体" w:eastAsia="宋体" w:cs="宋体"/>
          <w:spacing w:val="1"/>
          <w:sz w:val="24"/>
          <w:szCs w:val="24"/>
        </w:rPr>
        <w:t>最高洪峰1470</w:t>
      </w:r>
      <w:r>
        <w:rPr>
          <w:rFonts w:ascii="Times New Roman" w:hAnsi="Times New Roman" w:eastAsia="Times New Roman" w:cs="Times New Roman"/>
          <w:spacing w:val="1"/>
          <w:sz w:val="24"/>
          <w:szCs w:val="24"/>
        </w:rPr>
        <w:t xml:space="preserve">m³/s,  </w:t>
      </w:r>
      <w:r>
        <w:rPr>
          <w:rFonts w:ascii="宋体" w:hAnsi="宋体" w:eastAsia="宋体" w:cs="宋体"/>
          <w:spacing w:val="1"/>
          <w:sz w:val="24"/>
          <w:szCs w:val="24"/>
        </w:rPr>
        <w:t>主沟全年有水，但流量因受气候和支沟农田灌溉影响极不均</w:t>
      </w:r>
      <w:r>
        <w:rPr>
          <w:rFonts w:ascii="宋体" w:hAnsi="宋体" w:eastAsia="宋体" w:cs="宋体"/>
          <w:spacing w:val="7"/>
          <w:sz w:val="24"/>
          <w:szCs w:val="24"/>
        </w:rPr>
        <w:t xml:space="preserve"> </w:t>
      </w:r>
      <w:r>
        <w:rPr>
          <w:rFonts w:ascii="宋体" w:hAnsi="宋体" w:eastAsia="宋体" w:cs="宋体"/>
          <w:spacing w:val="-3"/>
          <w:sz w:val="24"/>
          <w:szCs w:val="24"/>
        </w:rPr>
        <w:t>匀，较大的支沟有石拐子西沟、召沟、后五当沟和白狐沟。石拐子西沟发源于固</w:t>
      </w:r>
      <w:r>
        <w:rPr>
          <w:rFonts w:ascii="宋体" w:hAnsi="宋体" w:eastAsia="宋体" w:cs="宋体"/>
          <w:spacing w:val="8"/>
          <w:sz w:val="24"/>
          <w:szCs w:val="24"/>
        </w:rPr>
        <w:t xml:space="preserve"> </w:t>
      </w:r>
      <w:r>
        <w:rPr>
          <w:rFonts w:ascii="宋体" w:hAnsi="宋体" w:eastAsia="宋体" w:cs="宋体"/>
          <w:spacing w:val="-6"/>
          <w:sz w:val="24"/>
          <w:szCs w:val="24"/>
        </w:rPr>
        <w:t>阳县忽鸡乡，到旧石拐与五当沟主沟汇合，全</w:t>
      </w:r>
      <w:r>
        <w:rPr>
          <w:rFonts w:ascii="宋体" w:hAnsi="宋体" w:eastAsia="宋体" w:cs="宋体"/>
          <w:spacing w:val="-46"/>
          <w:sz w:val="24"/>
          <w:szCs w:val="24"/>
        </w:rPr>
        <w:t xml:space="preserve"> </w:t>
      </w:r>
      <w:r>
        <w:rPr>
          <w:rFonts w:ascii="宋体" w:hAnsi="宋体" w:eastAsia="宋体" w:cs="宋体"/>
          <w:spacing w:val="-6"/>
          <w:sz w:val="24"/>
          <w:szCs w:val="24"/>
        </w:rPr>
        <w:t>长</w:t>
      </w:r>
      <w:r>
        <w:rPr>
          <w:rFonts w:ascii="宋体" w:hAnsi="宋体" w:eastAsia="宋体" w:cs="宋体"/>
          <w:spacing w:val="-50"/>
          <w:sz w:val="24"/>
          <w:szCs w:val="24"/>
        </w:rPr>
        <w:t xml:space="preserve"> </w:t>
      </w:r>
      <w:r>
        <w:rPr>
          <w:rFonts w:ascii="宋体" w:hAnsi="宋体" w:eastAsia="宋体" w:cs="宋体"/>
          <w:spacing w:val="-6"/>
          <w:sz w:val="24"/>
          <w:szCs w:val="24"/>
        </w:rPr>
        <w:t>约</w:t>
      </w:r>
      <w:r>
        <w:rPr>
          <w:rFonts w:ascii="宋体" w:hAnsi="宋体" w:eastAsia="宋体" w:cs="宋体"/>
          <w:spacing w:val="-37"/>
          <w:sz w:val="24"/>
          <w:szCs w:val="24"/>
        </w:rPr>
        <w:t xml:space="preserve"> </w:t>
      </w:r>
      <w:r>
        <w:rPr>
          <w:rFonts w:ascii="宋体" w:hAnsi="宋体" w:eastAsia="宋体" w:cs="宋体"/>
          <w:spacing w:val="-6"/>
          <w:sz w:val="24"/>
          <w:szCs w:val="24"/>
        </w:rPr>
        <w:t>1</w:t>
      </w:r>
      <w:r>
        <w:rPr>
          <w:rFonts w:ascii="宋体" w:hAnsi="宋体" w:eastAsia="宋体" w:cs="宋体"/>
          <w:spacing w:val="-53"/>
          <w:sz w:val="24"/>
          <w:szCs w:val="24"/>
        </w:rPr>
        <w:t xml:space="preserve"> </w:t>
      </w:r>
      <w:r>
        <w:rPr>
          <w:rFonts w:ascii="宋体" w:hAnsi="宋体" w:eastAsia="宋体" w:cs="宋体"/>
          <w:spacing w:val="-6"/>
          <w:sz w:val="24"/>
          <w:szCs w:val="24"/>
        </w:rPr>
        <w:t>0</w:t>
      </w:r>
      <w:r>
        <w:rPr>
          <w:rFonts w:ascii="Times New Roman" w:hAnsi="Times New Roman" w:eastAsia="Times New Roman" w:cs="Times New Roman"/>
          <w:spacing w:val="-6"/>
          <w:sz w:val="24"/>
          <w:szCs w:val="24"/>
        </w:rPr>
        <w:t>km,</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为季节性河流，最大</w:t>
      </w:r>
      <w:r>
        <w:rPr>
          <w:rFonts w:ascii="宋体" w:hAnsi="宋体" w:eastAsia="宋体" w:cs="宋体"/>
          <w:sz w:val="24"/>
          <w:szCs w:val="24"/>
        </w:rPr>
        <w:t xml:space="preserve">  </w:t>
      </w:r>
      <w:r>
        <w:rPr>
          <w:rFonts w:ascii="宋体" w:hAnsi="宋体" w:eastAsia="宋体" w:cs="宋体"/>
          <w:spacing w:val="1"/>
          <w:sz w:val="24"/>
          <w:szCs w:val="24"/>
        </w:rPr>
        <w:t>洪峰量约900</w:t>
      </w:r>
      <w:r>
        <w:rPr>
          <w:rFonts w:ascii="Times New Roman" w:hAnsi="Times New Roman" w:eastAsia="Times New Roman" w:cs="Times New Roman"/>
          <w:spacing w:val="1"/>
          <w:sz w:val="24"/>
          <w:szCs w:val="24"/>
        </w:rPr>
        <w:t xml:space="preserve">m³/s,   </w:t>
      </w:r>
      <w:r>
        <w:rPr>
          <w:rFonts w:ascii="宋体" w:hAnsi="宋体" w:eastAsia="宋体" w:cs="宋体"/>
          <w:spacing w:val="1"/>
          <w:sz w:val="24"/>
          <w:szCs w:val="24"/>
        </w:rPr>
        <w:t>一般为干沟。召沟发源于五当召镇</w:t>
      </w:r>
      <w:r>
        <w:rPr>
          <w:rFonts w:ascii="宋体" w:hAnsi="宋体" w:eastAsia="宋体" w:cs="宋体"/>
          <w:sz w:val="24"/>
          <w:szCs w:val="24"/>
        </w:rPr>
        <w:t xml:space="preserve">，由五当召沟、白菜沟、 </w:t>
      </w:r>
      <w:r>
        <w:rPr>
          <w:rFonts w:ascii="宋体" w:hAnsi="宋体" w:eastAsia="宋体" w:cs="宋体"/>
          <w:spacing w:val="2"/>
          <w:sz w:val="24"/>
          <w:szCs w:val="24"/>
        </w:rPr>
        <w:t>厂汉沟汇合而成。召沟在水磨滩和五当沟主沟汇合，全长约31</w:t>
      </w:r>
      <w:r>
        <w:rPr>
          <w:rFonts w:ascii="Times New Roman" w:hAnsi="Times New Roman" w:eastAsia="Times New Roman" w:cs="Times New Roman"/>
          <w:sz w:val="24"/>
          <w:szCs w:val="24"/>
        </w:rPr>
        <w:t>km</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rFonts w:ascii="宋体" w:hAnsi="宋体" w:eastAsia="宋体" w:cs="宋体"/>
          <w:spacing w:val="2"/>
          <w:sz w:val="24"/>
          <w:szCs w:val="24"/>
        </w:rPr>
        <w:t>最大洪峰流</w:t>
      </w:r>
      <w:r>
        <w:rPr>
          <w:rFonts w:ascii="宋体" w:hAnsi="宋体" w:eastAsia="宋体" w:cs="宋体"/>
          <w:sz w:val="24"/>
          <w:szCs w:val="24"/>
        </w:rPr>
        <w:t xml:space="preserve">  </w:t>
      </w:r>
      <w:r>
        <w:rPr>
          <w:spacing w:val="6"/>
          <w:sz w:val="24"/>
          <w:szCs w:val="24"/>
        </w:rPr>
        <w:t>量1200</w:t>
      </w:r>
      <w:r>
        <w:rPr>
          <w:rFonts w:ascii="Times New Roman" w:hAnsi="Times New Roman" w:eastAsia="Times New Roman" w:cs="Times New Roman"/>
          <w:spacing w:val="6"/>
          <w:sz w:val="24"/>
          <w:szCs w:val="24"/>
        </w:rPr>
        <w:t>m³/s,</w:t>
      </w:r>
      <w:r>
        <w:rPr>
          <w:rFonts w:ascii="Times New Roman" w:hAnsi="Times New Roman" w:eastAsia="Times New Roman" w:cs="Times New Roman"/>
          <w:spacing w:val="22"/>
          <w:sz w:val="24"/>
          <w:szCs w:val="24"/>
        </w:rPr>
        <w:t xml:space="preserve">  </w:t>
      </w:r>
      <w:r>
        <w:rPr>
          <w:rFonts w:ascii="宋体" w:hAnsi="宋体" w:eastAsia="宋体" w:cs="宋体"/>
          <w:spacing w:val="6"/>
          <w:sz w:val="24"/>
          <w:szCs w:val="24"/>
        </w:rPr>
        <w:t>沟内70年代以前长年有水，但水量不大，现一般为干沟。</w:t>
      </w:r>
    </w:p>
    <w:p w14:paraId="47524893">
      <w:pPr>
        <w:spacing w:before="81" w:line="340" w:lineRule="auto"/>
        <w:ind w:right="119" w:firstLine="499"/>
        <w:rPr>
          <w:rFonts w:ascii="宋体" w:hAnsi="宋体" w:eastAsia="宋体" w:cs="宋体"/>
          <w:sz w:val="24"/>
          <w:szCs w:val="24"/>
        </w:rPr>
      </w:pPr>
      <w:r>
        <w:rPr>
          <w:rFonts w:ascii="宋体" w:hAnsi="宋体" w:eastAsia="宋体" w:cs="宋体"/>
          <w:spacing w:val="-3"/>
          <w:sz w:val="24"/>
          <w:szCs w:val="24"/>
        </w:rPr>
        <w:t>后五当沟发源于五当召镇，向西流至头道沟从左侧汇入</w:t>
      </w:r>
      <w:r>
        <w:rPr>
          <w:rFonts w:ascii="宋体" w:hAnsi="宋体" w:eastAsia="宋体" w:cs="宋体"/>
          <w:spacing w:val="-4"/>
          <w:sz w:val="24"/>
          <w:szCs w:val="24"/>
        </w:rPr>
        <w:t>五当沟。全沟西圪旦</w:t>
      </w:r>
      <w:r>
        <w:rPr>
          <w:rFonts w:ascii="宋体" w:hAnsi="宋体" w:eastAsia="宋体" w:cs="宋体"/>
          <w:sz w:val="24"/>
          <w:szCs w:val="24"/>
        </w:rPr>
        <w:t xml:space="preserve"> </w:t>
      </w:r>
      <w:r>
        <w:rPr>
          <w:rFonts w:ascii="宋体" w:hAnsi="宋体" w:eastAsia="宋体" w:cs="宋体"/>
          <w:spacing w:val="3"/>
          <w:sz w:val="24"/>
          <w:szCs w:val="24"/>
        </w:rPr>
        <w:t>以上为干沟，以下有缓流，全长约9</w:t>
      </w:r>
      <w:r>
        <w:rPr>
          <w:rFonts w:ascii="Times New Roman" w:hAnsi="Times New Roman" w:eastAsia="Times New Roman" w:cs="Times New Roman"/>
          <w:sz w:val="24"/>
          <w:szCs w:val="24"/>
        </w:rPr>
        <w:t>km</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3"/>
          <w:w w:val="101"/>
          <w:sz w:val="24"/>
          <w:szCs w:val="24"/>
        </w:rPr>
        <w:t xml:space="preserve"> </w:t>
      </w:r>
      <w:r>
        <w:rPr>
          <w:rFonts w:ascii="宋体" w:hAnsi="宋体" w:eastAsia="宋体" w:cs="宋体"/>
          <w:spacing w:val="3"/>
          <w:sz w:val="24"/>
          <w:szCs w:val="24"/>
        </w:rPr>
        <w:t xml:space="preserve">最大洪峰流量500 </w:t>
      </w:r>
      <w:r>
        <w:rPr>
          <w:rFonts w:ascii="Times New Roman" w:hAnsi="Times New Roman" w:eastAsia="Times New Roman" w:cs="Times New Roman"/>
          <w:spacing w:val="3"/>
          <w:sz w:val="24"/>
          <w:szCs w:val="24"/>
        </w:rPr>
        <w:t>m³/s</w:t>
      </w:r>
      <w:r>
        <w:rPr>
          <w:rFonts w:ascii="宋体" w:hAnsi="宋体" w:eastAsia="宋体" w:cs="宋体"/>
          <w:spacing w:val="3"/>
          <w:sz w:val="24"/>
          <w:szCs w:val="24"/>
        </w:rPr>
        <w:t>。</w:t>
      </w:r>
    </w:p>
    <w:p w14:paraId="57D60206">
      <w:pPr>
        <w:spacing w:line="340" w:lineRule="auto"/>
        <w:rPr>
          <w:rFonts w:ascii="宋体" w:hAnsi="宋体" w:eastAsia="宋体" w:cs="宋体"/>
          <w:sz w:val="24"/>
          <w:szCs w:val="24"/>
        </w:rPr>
        <w:sectPr>
          <w:footerReference r:id="rId10" w:type="default"/>
          <w:pgSz w:w="11910" w:h="16850"/>
          <w:pgMar w:top="1432" w:right="1786" w:bottom="1337" w:left="1690" w:header="0" w:footer="1133" w:gutter="0"/>
          <w:cols w:space="720" w:num="1"/>
        </w:sectPr>
      </w:pPr>
    </w:p>
    <w:p w14:paraId="086EFA93">
      <w:pPr>
        <w:spacing w:before="48" w:line="342" w:lineRule="auto"/>
        <w:ind w:right="151" w:firstLine="479"/>
        <w:rPr>
          <w:rFonts w:ascii="宋体" w:hAnsi="宋体" w:eastAsia="宋体" w:cs="宋体"/>
          <w:sz w:val="24"/>
          <w:szCs w:val="24"/>
        </w:rPr>
      </w:pPr>
      <w:r>
        <w:rPr>
          <w:rFonts w:ascii="宋体" w:hAnsi="宋体" w:eastAsia="宋体" w:cs="宋体"/>
          <w:spacing w:val="2"/>
          <w:sz w:val="24"/>
          <w:szCs w:val="24"/>
        </w:rPr>
        <w:t>白狐沟下游是河滩沟，在立甲子注入五当沟，全长约7</w:t>
      </w:r>
      <w:r>
        <w:rPr>
          <w:rFonts w:ascii="Times New Roman" w:hAnsi="Times New Roman" w:eastAsia="Times New Roman" w:cs="Times New Roman"/>
          <w:sz w:val="24"/>
          <w:szCs w:val="24"/>
        </w:rPr>
        <w:t>km</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9"/>
          <w:w w:val="101"/>
          <w:sz w:val="24"/>
          <w:szCs w:val="24"/>
        </w:rPr>
        <w:t xml:space="preserve"> </w:t>
      </w:r>
      <w:r>
        <w:rPr>
          <w:rFonts w:ascii="宋体" w:hAnsi="宋体" w:eastAsia="宋体" w:cs="宋体"/>
          <w:spacing w:val="2"/>
          <w:sz w:val="24"/>
          <w:szCs w:val="24"/>
        </w:rPr>
        <w:t>最大洪峰流量约</w:t>
      </w:r>
      <w:r>
        <w:rPr>
          <w:rFonts w:ascii="宋体" w:hAnsi="宋体" w:eastAsia="宋体" w:cs="宋体"/>
          <w:sz w:val="24"/>
          <w:szCs w:val="24"/>
        </w:rPr>
        <w:t xml:space="preserve"> </w:t>
      </w:r>
      <w:r>
        <w:rPr>
          <w:rFonts w:ascii="Times New Roman" w:hAnsi="Times New Roman" w:eastAsia="Times New Roman" w:cs="Times New Roman"/>
          <w:spacing w:val="-3"/>
          <w:sz w:val="24"/>
          <w:szCs w:val="24"/>
        </w:rPr>
        <w:t>700m³/s,</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为季节性河沟。</w:t>
      </w:r>
    </w:p>
    <w:p w14:paraId="022BDD3A">
      <w:pPr>
        <w:spacing w:before="57" w:line="357" w:lineRule="auto"/>
        <w:ind w:right="142" w:firstLine="479"/>
        <w:jc w:val="both"/>
        <w:rPr>
          <w:rFonts w:ascii="宋体" w:hAnsi="宋体" w:eastAsia="宋体" w:cs="宋体"/>
          <w:sz w:val="24"/>
          <w:szCs w:val="24"/>
        </w:rPr>
      </w:pPr>
      <w:r>
        <w:rPr>
          <w:rFonts w:ascii="宋体" w:hAnsi="宋体" w:eastAsia="宋体" w:cs="宋体"/>
          <w:spacing w:val="-2"/>
          <w:sz w:val="24"/>
          <w:szCs w:val="24"/>
        </w:rPr>
        <w:t>石拐区内地下水按含水介质和含水类型可分为第四系松散岩类孔隙潜水、碎</w:t>
      </w:r>
      <w:r>
        <w:rPr>
          <w:rFonts w:ascii="宋体" w:hAnsi="宋体" w:eastAsia="宋体" w:cs="宋体"/>
          <w:spacing w:val="16"/>
          <w:sz w:val="24"/>
          <w:szCs w:val="24"/>
        </w:rPr>
        <w:t xml:space="preserve"> </w:t>
      </w:r>
      <w:r>
        <w:rPr>
          <w:rFonts w:ascii="宋体" w:hAnsi="宋体" w:eastAsia="宋体" w:cs="宋体"/>
          <w:spacing w:val="-2"/>
          <w:sz w:val="24"/>
          <w:szCs w:val="24"/>
        </w:rPr>
        <w:t>屑岩类裂隙孔隙水和基岩裂隙水三种类型。石拐区居民生活用水、工业用水和农</w:t>
      </w:r>
      <w:r>
        <w:rPr>
          <w:rFonts w:ascii="宋体" w:hAnsi="宋体" w:eastAsia="宋体" w:cs="宋体"/>
          <w:spacing w:val="3"/>
          <w:sz w:val="24"/>
          <w:szCs w:val="24"/>
        </w:rPr>
        <w:t xml:space="preserve"> </w:t>
      </w:r>
      <w:r>
        <w:rPr>
          <w:rFonts w:ascii="宋体" w:hAnsi="宋体" w:eastAsia="宋体" w:cs="宋体"/>
          <w:spacing w:val="-2"/>
          <w:sz w:val="24"/>
          <w:szCs w:val="24"/>
        </w:rPr>
        <w:t>田灌溉主要利用第四系孔隙潜水，贮量贫乏，主要分</w:t>
      </w:r>
      <w:r>
        <w:rPr>
          <w:rFonts w:ascii="宋体" w:hAnsi="宋体" w:eastAsia="宋体" w:cs="宋体"/>
          <w:spacing w:val="-3"/>
          <w:sz w:val="24"/>
          <w:szCs w:val="24"/>
        </w:rPr>
        <w:t>布在几条河沟内，由洪水和</w:t>
      </w:r>
      <w:r>
        <w:rPr>
          <w:rFonts w:ascii="宋体" w:hAnsi="宋体" w:eastAsia="宋体" w:cs="宋体"/>
          <w:sz w:val="24"/>
          <w:szCs w:val="24"/>
        </w:rPr>
        <w:t xml:space="preserve"> 山沟泉水补充，埋藏深度在1.5-3</w:t>
      </w:r>
      <w:r>
        <w:rPr>
          <w:rFonts w:ascii="Times New Roman" w:hAnsi="Times New Roman" w:eastAsia="Times New Roman" w:cs="Times New Roman"/>
          <w:sz w:val="24"/>
          <w:szCs w:val="24"/>
        </w:rPr>
        <w:t>m</w:t>
      </w:r>
      <w:r>
        <w:rPr>
          <w:rFonts w:ascii="Times New Roman" w:hAnsi="Times New Roman" w:eastAsia="Times New Roman" w:cs="Times New Roman"/>
          <w:spacing w:val="60"/>
          <w:sz w:val="24"/>
          <w:szCs w:val="24"/>
        </w:rPr>
        <w:t xml:space="preserve"> </w:t>
      </w:r>
      <w:r>
        <w:rPr>
          <w:rFonts w:ascii="宋体" w:hAnsi="宋体" w:eastAsia="宋体" w:cs="宋体"/>
          <w:sz w:val="24"/>
          <w:szCs w:val="24"/>
        </w:rPr>
        <w:t>之间，储量约为1.0×</w:t>
      </w:r>
      <w:r>
        <w:rPr>
          <w:rFonts w:ascii="宋体" w:hAnsi="宋体" w:eastAsia="宋体" w:cs="宋体"/>
          <w:spacing w:val="-1"/>
          <w:sz w:val="24"/>
          <w:szCs w:val="24"/>
        </w:rPr>
        <w:t>10</w:t>
      </w:r>
      <w:r>
        <w:rPr>
          <w:rFonts w:ascii="Calibri" w:hAnsi="Calibri" w:eastAsia="Calibri" w:cs="Calibri"/>
          <w:spacing w:val="-1"/>
          <w:sz w:val="24"/>
          <w:szCs w:val="24"/>
        </w:rPr>
        <w:t>⁷</w:t>
      </w:r>
      <w:r>
        <w:rPr>
          <w:rFonts w:ascii="Times New Roman" w:hAnsi="Times New Roman" w:eastAsia="Times New Roman" w:cs="Times New Roman"/>
          <w:spacing w:val="-1"/>
          <w:sz w:val="24"/>
          <w:szCs w:val="24"/>
        </w:rPr>
        <w:t>m³</w:t>
      </w:r>
      <w:r>
        <w:rPr>
          <w:rFonts w:ascii="宋体" w:hAnsi="宋体" w:eastAsia="宋体" w:cs="宋体"/>
          <w:spacing w:val="-1"/>
          <w:sz w:val="24"/>
          <w:szCs w:val="24"/>
        </w:rPr>
        <w:t>。</w:t>
      </w:r>
    </w:p>
    <w:p w14:paraId="77B24314">
      <w:pPr>
        <w:spacing w:line="219" w:lineRule="auto"/>
        <w:outlineLvl w:val="2"/>
        <w:rPr>
          <w:rFonts w:ascii="宋体" w:hAnsi="宋体" w:eastAsia="宋体" w:cs="宋体"/>
          <w:sz w:val="25"/>
          <w:szCs w:val="25"/>
        </w:rPr>
      </w:pPr>
      <w:bookmarkStart w:id="19" w:name="bookmark16"/>
      <w:bookmarkEnd w:id="19"/>
      <w:r>
        <w:rPr>
          <w:rFonts w:ascii="宋体" w:hAnsi="宋体" w:eastAsia="宋体" w:cs="宋体"/>
          <w:spacing w:val="-2"/>
          <w:sz w:val="25"/>
          <w:szCs w:val="25"/>
        </w:rPr>
        <w:t>2.1.</w:t>
      </w:r>
      <w:r>
        <w:rPr>
          <w:rFonts w:ascii="宋体" w:hAnsi="宋体" w:eastAsia="宋体" w:cs="宋体"/>
          <w:b/>
          <w:bCs/>
          <w:spacing w:val="-2"/>
          <w:sz w:val="25"/>
          <w:szCs w:val="25"/>
        </w:rPr>
        <w:t>3水源地自然特征</w:t>
      </w:r>
    </w:p>
    <w:p w14:paraId="470DE53C">
      <w:pPr>
        <w:spacing w:before="193" w:line="355" w:lineRule="auto"/>
        <w:ind w:right="144" w:firstLine="479"/>
        <w:jc w:val="both"/>
        <w:rPr>
          <w:rFonts w:ascii="宋体" w:hAnsi="宋体" w:eastAsia="宋体" w:cs="宋体"/>
          <w:sz w:val="24"/>
          <w:szCs w:val="24"/>
        </w:rPr>
      </w:pPr>
      <w:r>
        <w:rPr>
          <w:rFonts w:ascii="宋体" w:hAnsi="宋体" w:eastAsia="宋体" w:cs="宋体"/>
          <w:spacing w:val="2"/>
          <w:sz w:val="24"/>
          <w:szCs w:val="24"/>
        </w:rPr>
        <w:t>石拐区水源地1#井位于大青山以南的五当沟岸边。1#井位于五当召镇缸房</w:t>
      </w:r>
      <w:r>
        <w:rPr>
          <w:rFonts w:ascii="宋体" w:hAnsi="宋体" w:eastAsia="宋体" w:cs="宋体"/>
          <w:spacing w:val="8"/>
          <w:sz w:val="24"/>
          <w:szCs w:val="24"/>
        </w:rPr>
        <w:t xml:space="preserve">  </w:t>
      </w:r>
      <w:r>
        <w:rPr>
          <w:rFonts w:ascii="宋体" w:hAnsi="宋体" w:eastAsia="宋体" w:cs="宋体"/>
          <w:spacing w:val="-2"/>
          <w:sz w:val="24"/>
          <w:szCs w:val="24"/>
        </w:rPr>
        <w:t>地村东南约500</w:t>
      </w:r>
      <w:r>
        <w:rPr>
          <w:rFonts w:ascii="Times New Roman" w:hAnsi="Times New Roman" w:eastAsia="Times New Roman" w:cs="Times New Roman"/>
          <w:spacing w:val="-2"/>
          <w:sz w:val="24"/>
          <w:szCs w:val="24"/>
        </w:rPr>
        <w:t>m</w:t>
      </w:r>
      <w:r>
        <w:rPr>
          <w:rFonts w:ascii="宋体" w:hAnsi="宋体" w:eastAsia="宋体" w:cs="宋体"/>
          <w:spacing w:val="-2"/>
          <w:sz w:val="24"/>
          <w:szCs w:val="24"/>
        </w:rPr>
        <w:t>。位于五当沟西岸，距离主沟约20</w:t>
      </w:r>
      <w:r>
        <w:rPr>
          <w:rFonts w:ascii="Times New Roman" w:hAnsi="Times New Roman" w:eastAsia="Times New Roman" w:cs="Times New Roman"/>
          <w:spacing w:val="-2"/>
          <w:sz w:val="24"/>
          <w:szCs w:val="24"/>
        </w:rPr>
        <w:t>m</w:t>
      </w:r>
      <w:r>
        <w:rPr>
          <w:rFonts w:ascii="宋体" w:hAnsi="宋体" w:eastAsia="宋体" w:cs="宋体"/>
          <w:spacing w:val="-2"/>
          <w:sz w:val="24"/>
          <w:szCs w:val="24"/>
        </w:rPr>
        <w:t>。该河段较为顺直，两岸用</w:t>
      </w:r>
      <w:r>
        <w:rPr>
          <w:rFonts w:ascii="宋体" w:hAnsi="宋体" w:eastAsia="宋体" w:cs="宋体"/>
          <w:spacing w:val="10"/>
          <w:sz w:val="24"/>
          <w:szCs w:val="24"/>
        </w:rPr>
        <w:t xml:space="preserve"> </w:t>
      </w:r>
      <w:r>
        <w:rPr>
          <w:rFonts w:ascii="宋体" w:hAnsi="宋体" w:eastAsia="宋体" w:cs="宋体"/>
          <w:spacing w:val="1"/>
          <w:sz w:val="24"/>
          <w:szCs w:val="24"/>
        </w:rPr>
        <w:t>地主要为农田、林地和村庄。沙明线经水源地1#井东侧约230</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处通</w:t>
      </w:r>
      <w:r>
        <w:rPr>
          <w:rFonts w:ascii="宋体" w:hAnsi="宋体" w:eastAsia="宋体" w:cs="宋体"/>
          <w:sz w:val="24"/>
          <w:szCs w:val="24"/>
        </w:rPr>
        <w:t>过，</w:t>
      </w:r>
      <w:r>
        <w:rPr>
          <w:rFonts w:ascii="宋体" w:hAnsi="宋体" w:eastAsia="宋体" w:cs="宋体"/>
          <w:color w:val="607060"/>
          <w:sz w:val="24"/>
          <w:szCs w:val="24"/>
        </w:rPr>
        <w:t xml:space="preserve">是连接 </w:t>
      </w:r>
      <w:r>
        <w:rPr>
          <w:rFonts w:ascii="宋体" w:hAnsi="宋体" w:eastAsia="宋体" w:cs="宋体"/>
          <w:spacing w:val="-1"/>
          <w:sz w:val="24"/>
          <w:szCs w:val="24"/>
        </w:rPr>
        <w:t>石拐至固阳的道路，该线路运输车辆主要为货运车辆。</w:t>
      </w:r>
    </w:p>
    <w:p w14:paraId="47C0FB66">
      <w:pPr>
        <w:spacing w:before="63" w:line="219" w:lineRule="auto"/>
        <w:ind w:left="4"/>
        <w:outlineLvl w:val="1"/>
        <w:rPr>
          <w:rFonts w:ascii="宋体" w:hAnsi="宋体" w:eastAsia="宋体" w:cs="宋体"/>
          <w:sz w:val="31"/>
          <w:szCs w:val="31"/>
        </w:rPr>
      </w:pPr>
      <w:bookmarkStart w:id="20" w:name="bookmark17"/>
      <w:bookmarkEnd w:id="20"/>
      <w:r>
        <w:rPr>
          <w:rFonts w:ascii="宋体" w:hAnsi="宋体" w:eastAsia="宋体" w:cs="宋体"/>
          <w:b/>
          <w:bCs/>
          <w:spacing w:val="-24"/>
          <w:sz w:val="31"/>
          <w:szCs w:val="31"/>
        </w:rPr>
        <w:t>2.2石拐区饮用水水源地所在区域社会经</w:t>
      </w:r>
      <w:r>
        <w:rPr>
          <w:rFonts w:ascii="宋体" w:hAnsi="宋体" w:eastAsia="宋体" w:cs="宋体"/>
          <w:b/>
          <w:bCs/>
          <w:spacing w:val="-25"/>
          <w:sz w:val="31"/>
          <w:szCs w:val="31"/>
        </w:rPr>
        <w:t>济状况</w:t>
      </w:r>
    </w:p>
    <w:p w14:paraId="77E31093">
      <w:pPr>
        <w:spacing w:before="202" w:line="219" w:lineRule="auto"/>
        <w:outlineLvl w:val="2"/>
        <w:rPr>
          <w:rFonts w:ascii="宋体" w:hAnsi="宋体" w:eastAsia="宋体" w:cs="宋体"/>
          <w:sz w:val="24"/>
          <w:szCs w:val="24"/>
        </w:rPr>
      </w:pPr>
      <w:bookmarkStart w:id="21" w:name="bookmark18"/>
      <w:bookmarkEnd w:id="21"/>
      <w:r>
        <w:rPr>
          <w:rFonts w:ascii="宋体" w:hAnsi="宋体" w:eastAsia="宋体" w:cs="宋体"/>
          <w:spacing w:val="5"/>
          <w:sz w:val="24"/>
          <w:szCs w:val="24"/>
        </w:rPr>
        <w:t>2.2.</w:t>
      </w:r>
      <w:r>
        <w:rPr>
          <w:rFonts w:ascii="宋体" w:hAnsi="宋体" w:eastAsia="宋体" w:cs="宋体"/>
          <w:b/>
          <w:bCs/>
          <w:spacing w:val="5"/>
          <w:sz w:val="24"/>
          <w:szCs w:val="24"/>
        </w:rPr>
        <w:t>1行政区划与人口数量</w:t>
      </w:r>
    </w:p>
    <w:p w14:paraId="56C8D3AD">
      <w:pPr>
        <w:spacing w:before="213" w:line="351" w:lineRule="auto"/>
        <w:ind w:right="161" w:firstLine="479"/>
        <w:jc w:val="both"/>
        <w:rPr>
          <w:rFonts w:ascii="宋体" w:hAnsi="宋体" w:eastAsia="宋体" w:cs="宋体"/>
          <w:sz w:val="25"/>
          <w:szCs w:val="25"/>
        </w:rPr>
      </w:pPr>
      <w:r>
        <w:rPr>
          <w:rFonts w:ascii="宋体" w:hAnsi="宋体" w:eastAsia="宋体" w:cs="宋体"/>
          <w:spacing w:val="-2"/>
          <w:sz w:val="24"/>
          <w:szCs w:val="24"/>
        </w:rPr>
        <w:t>石拐是包头市的主要煤炭、陶瓷原料基地和重要的旅游景区，</w:t>
      </w:r>
      <w:r>
        <w:rPr>
          <w:rFonts w:ascii="宋体" w:hAnsi="宋体" w:eastAsia="宋体" w:cs="宋体"/>
          <w:spacing w:val="-3"/>
          <w:sz w:val="24"/>
          <w:szCs w:val="24"/>
        </w:rPr>
        <w:t>是包头市的煤</w:t>
      </w:r>
      <w:r>
        <w:rPr>
          <w:rFonts w:ascii="宋体" w:hAnsi="宋体" w:eastAsia="宋体" w:cs="宋体"/>
          <w:sz w:val="24"/>
          <w:szCs w:val="24"/>
        </w:rPr>
        <w:t xml:space="preserve"> </w:t>
      </w:r>
      <w:r>
        <w:rPr>
          <w:rFonts w:ascii="宋体" w:hAnsi="宋体" w:eastAsia="宋体" w:cs="宋体"/>
          <w:spacing w:val="-2"/>
          <w:sz w:val="24"/>
          <w:szCs w:val="24"/>
        </w:rPr>
        <w:t>炭生产基地和硬质粘土矿生产基地之一。石拐矿区现下辖一乡、一镇、五个街道</w:t>
      </w:r>
      <w:r>
        <w:rPr>
          <w:rFonts w:ascii="宋体" w:hAnsi="宋体" w:eastAsia="宋体" w:cs="宋体"/>
          <w:sz w:val="24"/>
          <w:szCs w:val="24"/>
        </w:rPr>
        <w:t xml:space="preserve"> </w:t>
      </w:r>
      <w:r>
        <w:rPr>
          <w:rFonts w:ascii="宋体" w:hAnsi="宋体" w:eastAsia="宋体" w:cs="宋体"/>
          <w:spacing w:val="4"/>
          <w:sz w:val="24"/>
          <w:szCs w:val="24"/>
        </w:rPr>
        <w:t>办事处。包头矿务局、包钢杂怀沟硬质粘土矿为驻区大企业。2006年开始，石</w:t>
      </w:r>
      <w:r>
        <w:rPr>
          <w:rFonts w:ascii="宋体" w:hAnsi="宋体" w:eastAsia="宋体" w:cs="宋体"/>
          <w:spacing w:val="7"/>
          <w:sz w:val="24"/>
          <w:szCs w:val="24"/>
        </w:rPr>
        <w:t xml:space="preserve"> </w:t>
      </w:r>
      <w:r>
        <w:rPr>
          <w:rFonts w:ascii="宋体" w:hAnsi="宋体" w:eastAsia="宋体" w:cs="宋体"/>
          <w:spacing w:val="1"/>
          <w:sz w:val="24"/>
          <w:szCs w:val="24"/>
        </w:rPr>
        <w:t>拐区相继实施了采煤沉陷区综合治理项目及中央下放煤矿棚户区改造项目(包括</w:t>
      </w:r>
      <w:r>
        <w:rPr>
          <w:rFonts w:ascii="宋体" w:hAnsi="宋体" w:eastAsia="宋体" w:cs="宋体"/>
          <w:spacing w:val="13"/>
          <w:sz w:val="24"/>
          <w:szCs w:val="24"/>
        </w:rPr>
        <w:t xml:space="preserve"> </w:t>
      </w:r>
      <w:r>
        <w:rPr>
          <w:rFonts w:ascii="宋体" w:hAnsi="宋体" w:eastAsia="宋体" w:cs="宋体"/>
          <w:spacing w:val="8"/>
          <w:sz w:val="24"/>
          <w:szCs w:val="24"/>
        </w:rPr>
        <w:t>万水泉安置区和普惠安置区两部分), 共计投入资金43.87 亿元(专项资金达</w:t>
      </w:r>
      <w:r>
        <w:rPr>
          <w:rFonts w:ascii="宋体" w:hAnsi="宋体" w:eastAsia="宋体" w:cs="宋体"/>
          <w:spacing w:val="14"/>
          <w:sz w:val="24"/>
          <w:szCs w:val="24"/>
        </w:rPr>
        <w:t xml:space="preserve"> </w:t>
      </w:r>
      <w:r>
        <w:rPr>
          <w:rFonts w:ascii="Times New Roman" w:hAnsi="Times New Roman" w:eastAsia="Times New Roman" w:cs="Times New Roman"/>
          <w:spacing w:val="-7"/>
          <w:sz w:val="25"/>
          <w:szCs w:val="25"/>
        </w:rPr>
        <w:t>7.8</w:t>
      </w:r>
      <w:r>
        <w:rPr>
          <w:rFonts w:ascii="Times New Roman" w:hAnsi="Times New Roman" w:eastAsia="Times New Roman" w:cs="Times New Roman"/>
          <w:spacing w:val="21"/>
          <w:w w:val="101"/>
          <w:sz w:val="25"/>
          <w:szCs w:val="25"/>
        </w:rPr>
        <w:t xml:space="preserve">  </w:t>
      </w:r>
      <w:r>
        <w:rPr>
          <w:rFonts w:ascii="宋体" w:hAnsi="宋体" w:eastAsia="宋体" w:cs="宋体"/>
          <w:spacing w:val="-7"/>
          <w:sz w:val="25"/>
          <w:szCs w:val="25"/>
        </w:rPr>
        <w:t>亿元，其中：采煤沉陷区项目11245 万元</w:t>
      </w:r>
      <w:r>
        <w:rPr>
          <w:rFonts w:ascii="宋体" w:hAnsi="宋体" w:eastAsia="宋体" w:cs="宋体"/>
          <w:color w:val="506070"/>
          <w:spacing w:val="-7"/>
          <w:sz w:val="25"/>
          <w:szCs w:val="25"/>
        </w:rPr>
        <w:t>，棚户区改造万水泉安置区62500</w:t>
      </w:r>
      <w:r>
        <w:rPr>
          <w:rFonts w:ascii="宋体" w:hAnsi="宋体" w:eastAsia="宋体" w:cs="宋体"/>
          <w:color w:val="506070"/>
          <w:sz w:val="25"/>
          <w:szCs w:val="25"/>
        </w:rPr>
        <w:t xml:space="preserve"> </w:t>
      </w:r>
      <w:r>
        <w:rPr>
          <w:rFonts w:ascii="宋体" w:hAnsi="宋体" w:eastAsia="宋体" w:cs="宋体"/>
          <w:spacing w:val="4"/>
          <w:sz w:val="25"/>
          <w:szCs w:val="25"/>
        </w:rPr>
        <w:t>万元，普惠安置区4734</w:t>
      </w:r>
      <w:r>
        <w:rPr>
          <w:rFonts w:ascii="宋体" w:hAnsi="宋体" w:eastAsia="宋体" w:cs="宋体"/>
          <w:spacing w:val="-11"/>
          <w:sz w:val="25"/>
          <w:szCs w:val="25"/>
        </w:rPr>
        <w:t xml:space="preserve"> </w:t>
      </w:r>
      <w:r>
        <w:rPr>
          <w:rFonts w:ascii="宋体" w:hAnsi="宋体" w:eastAsia="宋体" w:cs="宋体"/>
          <w:spacing w:val="4"/>
          <w:sz w:val="25"/>
          <w:szCs w:val="25"/>
        </w:rPr>
        <w:t>万元),规划安置总户数18360</w:t>
      </w:r>
      <w:r>
        <w:rPr>
          <w:rFonts w:ascii="宋体" w:hAnsi="宋体" w:eastAsia="宋体" w:cs="宋体"/>
          <w:spacing w:val="-27"/>
          <w:sz w:val="25"/>
          <w:szCs w:val="25"/>
        </w:rPr>
        <w:t xml:space="preserve"> </w:t>
      </w:r>
      <w:r>
        <w:rPr>
          <w:rFonts w:ascii="宋体" w:hAnsi="宋体" w:eastAsia="宋体" w:cs="宋体"/>
          <w:spacing w:val="4"/>
          <w:sz w:val="25"/>
          <w:szCs w:val="25"/>
        </w:rPr>
        <w:t>户，安置人口5.6 万</w:t>
      </w:r>
      <w:r>
        <w:rPr>
          <w:rFonts w:ascii="宋体" w:hAnsi="宋体" w:eastAsia="宋体" w:cs="宋体"/>
          <w:sz w:val="25"/>
          <w:szCs w:val="25"/>
        </w:rPr>
        <w:t xml:space="preserve"> </w:t>
      </w:r>
      <w:r>
        <w:rPr>
          <w:rFonts w:ascii="宋体" w:hAnsi="宋体" w:eastAsia="宋体" w:cs="宋体"/>
          <w:spacing w:val="-1"/>
          <w:sz w:val="25"/>
          <w:szCs w:val="25"/>
        </w:rPr>
        <w:t>人。2008年，包头市行政区划调整，为石拐区新划入147平</w:t>
      </w:r>
      <w:r>
        <w:rPr>
          <w:rFonts w:ascii="宋体" w:hAnsi="宋体" w:eastAsia="宋体" w:cs="宋体"/>
          <w:spacing w:val="-2"/>
          <w:sz w:val="25"/>
          <w:szCs w:val="25"/>
        </w:rPr>
        <w:t>方公里土地，极大</w:t>
      </w:r>
      <w:r>
        <w:rPr>
          <w:rFonts w:ascii="宋体" w:hAnsi="宋体" w:eastAsia="宋体" w:cs="宋体"/>
          <w:sz w:val="25"/>
          <w:szCs w:val="25"/>
        </w:rPr>
        <w:t xml:space="preserve"> </w:t>
      </w:r>
      <w:r>
        <w:rPr>
          <w:rFonts w:ascii="宋体" w:hAnsi="宋体" w:eastAsia="宋体" w:cs="宋体"/>
          <w:spacing w:val="-10"/>
          <w:sz w:val="25"/>
          <w:szCs w:val="25"/>
        </w:rPr>
        <w:t>地拓展了石拐区的发展空间，赢得了发展机遇。</w:t>
      </w:r>
    </w:p>
    <w:p w14:paraId="54346F89">
      <w:pPr>
        <w:spacing w:before="42" w:line="219" w:lineRule="auto"/>
        <w:ind w:left="479"/>
        <w:rPr>
          <w:rFonts w:ascii="宋体" w:hAnsi="宋体" w:eastAsia="宋体" w:cs="宋体"/>
          <w:sz w:val="25"/>
          <w:szCs w:val="25"/>
        </w:rPr>
      </w:pPr>
      <w:r>
        <w:rPr>
          <w:rFonts w:ascii="宋体" w:hAnsi="宋体" w:eastAsia="宋体" w:cs="宋体"/>
          <w:spacing w:val="-4"/>
          <w:sz w:val="25"/>
          <w:szCs w:val="25"/>
        </w:rPr>
        <w:t>石拐区总人口约3.9万人，由汉、蒙、回、藏、维、朝鲜、满、达斡尔、</w:t>
      </w:r>
    </w:p>
    <w:p w14:paraId="779F825B">
      <w:pPr>
        <w:spacing w:before="153" w:line="342" w:lineRule="auto"/>
        <w:ind w:right="160"/>
        <w:rPr>
          <w:rFonts w:ascii="宋体" w:hAnsi="宋体" w:eastAsia="宋体" w:cs="宋体"/>
          <w:sz w:val="25"/>
          <w:szCs w:val="25"/>
        </w:rPr>
      </w:pPr>
      <w:r>
        <w:rPr>
          <w:rFonts w:ascii="宋体" w:hAnsi="宋体" w:eastAsia="宋体" w:cs="宋体"/>
          <w:spacing w:val="2"/>
          <w:sz w:val="25"/>
          <w:szCs w:val="25"/>
        </w:rPr>
        <w:t>羌、锡伯等10个民族组成，</w:t>
      </w:r>
      <w:r>
        <w:rPr>
          <w:rFonts w:ascii="宋体" w:hAnsi="宋体" w:eastAsia="宋体" w:cs="宋体"/>
          <w:color w:val="607060"/>
          <w:spacing w:val="2"/>
          <w:sz w:val="25"/>
          <w:szCs w:val="25"/>
        </w:rPr>
        <w:t>全区总面积764</w:t>
      </w:r>
      <w:r>
        <w:rPr>
          <w:rFonts w:ascii="Times New Roman" w:hAnsi="Times New Roman" w:eastAsia="Times New Roman" w:cs="Times New Roman"/>
          <w:color w:val="607060"/>
          <w:sz w:val="25"/>
          <w:szCs w:val="25"/>
        </w:rPr>
        <w:t>km</w:t>
      </w:r>
      <w:r>
        <w:rPr>
          <w:rFonts w:ascii="Times New Roman" w:hAnsi="Times New Roman" w:eastAsia="Times New Roman" w:cs="Times New Roman"/>
          <w:color w:val="607060"/>
          <w:spacing w:val="2"/>
          <w:sz w:val="25"/>
          <w:szCs w:val="25"/>
        </w:rPr>
        <w:t>²</w:t>
      </w:r>
      <w:r>
        <w:rPr>
          <w:rFonts w:ascii="宋体" w:hAnsi="宋体" w:eastAsia="宋体" w:cs="宋体"/>
          <w:color w:val="607060"/>
          <w:spacing w:val="2"/>
          <w:sz w:val="25"/>
          <w:szCs w:val="25"/>
        </w:rPr>
        <w:t>。紧</w:t>
      </w:r>
      <w:r>
        <w:rPr>
          <w:rFonts w:ascii="宋体" w:hAnsi="宋体" w:eastAsia="宋体" w:cs="宋体"/>
          <w:color w:val="607060"/>
          <w:spacing w:val="1"/>
          <w:sz w:val="25"/>
          <w:szCs w:val="25"/>
        </w:rPr>
        <w:t>邻110国道、210国道和京</w:t>
      </w:r>
      <w:r>
        <w:rPr>
          <w:rFonts w:ascii="宋体" w:hAnsi="宋体" w:eastAsia="宋体" w:cs="宋体"/>
          <w:color w:val="607060"/>
          <w:sz w:val="25"/>
          <w:szCs w:val="25"/>
        </w:rPr>
        <w:t xml:space="preserve"> </w:t>
      </w:r>
      <w:r>
        <w:rPr>
          <w:rFonts w:ascii="宋体" w:hAnsi="宋体" w:eastAsia="宋体" w:cs="宋体"/>
          <w:spacing w:val="-10"/>
          <w:sz w:val="25"/>
          <w:szCs w:val="25"/>
        </w:rPr>
        <w:t>藏高速公路，43</w:t>
      </w:r>
      <w:r>
        <w:rPr>
          <w:rFonts w:ascii="Times New Roman" w:hAnsi="Times New Roman" w:eastAsia="Times New Roman" w:cs="Times New Roman"/>
          <w:spacing w:val="-10"/>
          <w:sz w:val="25"/>
          <w:szCs w:val="25"/>
        </w:rPr>
        <w:t>km</w:t>
      </w:r>
      <w:r>
        <w:rPr>
          <w:rFonts w:ascii="Times New Roman" w:hAnsi="Times New Roman" w:eastAsia="Times New Roman" w:cs="Times New Roman"/>
          <w:spacing w:val="57"/>
          <w:sz w:val="25"/>
          <w:szCs w:val="25"/>
        </w:rPr>
        <w:t xml:space="preserve"> </w:t>
      </w:r>
      <w:r>
        <w:rPr>
          <w:rFonts w:ascii="宋体" w:hAnsi="宋体" w:eastAsia="宋体" w:cs="宋体"/>
          <w:spacing w:val="-10"/>
          <w:sz w:val="25"/>
          <w:szCs w:val="25"/>
        </w:rPr>
        <w:t>的铁路专线与包头车站相连，交通十分便利。服务设施较齐</w:t>
      </w:r>
      <w:r>
        <w:rPr>
          <w:rFonts w:ascii="宋体" w:hAnsi="宋体" w:eastAsia="宋体" w:cs="宋体"/>
          <w:sz w:val="25"/>
          <w:szCs w:val="25"/>
        </w:rPr>
        <w:t xml:space="preserve"> </w:t>
      </w:r>
      <w:r>
        <w:rPr>
          <w:rFonts w:ascii="宋体" w:hAnsi="宋体" w:eastAsia="宋体" w:cs="宋体"/>
          <w:spacing w:val="-5"/>
          <w:sz w:val="25"/>
          <w:szCs w:val="25"/>
        </w:rPr>
        <w:t>全。</w:t>
      </w:r>
    </w:p>
    <w:p w14:paraId="5B16A33E">
      <w:pPr>
        <w:spacing w:line="220" w:lineRule="auto"/>
        <w:outlineLvl w:val="2"/>
        <w:rPr>
          <w:rFonts w:ascii="宋体" w:hAnsi="宋体" w:eastAsia="宋体" w:cs="宋体"/>
          <w:sz w:val="25"/>
          <w:szCs w:val="25"/>
        </w:rPr>
      </w:pPr>
      <w:bookmarkStart w:id="22" w:name="bookmark19"/>
      <w:bookmarkEnd w:id="22"/>
      <w:r>
        <w:rPr>
          <w:rFonts w:ascii="宋体" w:hAnsi="宋体" w:eastAsia="宋体" w:cs="宋体"/>
          <w:spacing w:val="1"/>
          <w:sz w:val="25"/>
          <w:szCs w:val="25"/>
        </w:rPr>
        <w:t>2.2.</w:t>
      </w:r>
      <w:r>
        <w:rPr>
          <w:rFonts w:ascii="宋体" w:hAnsi="宋体" w:eastAsia="宋体" w:cs="宋体"/>
          <w:b/>
          <w:bCs/>
          <w:spacing w:val="1"/>
          <w:sz w:val="25"/>
          <w:szCs w:val="25"/>
        </w:rPr>
        <w:t>2经济情况</w:t>
      </w:r>
    </w:p>
    <w:p w14:paraId="30F61055">
      <w:pPr>
        <w:spacing w:before="194" w:line="219" w:lineRule="auto"/>
        <w:ind w:left="610"/>
        <w:rPr>
          <w:rFonts w:ascii="宋体" w:hAnsi="宋体" w:eastAsia="宋体" w:cs="宋体"/>
          <w:sz w:val="23"/>
          <w:szCs w:val="23"/>
        </w:rPr>
      </w:pPr>
      <w:r>
        <w:rPr>
          <w:rFonts w:ascii="宋体" w:hAnsi="宋体" w:eastAsia="宋体" w:cs="宋体"/>
          <w:spacing w:val="-2"/>
          <w:sz w:val="23"/>
          <w:szCs w:val="23"/>
        </w:rPr>
        <w:t>(1)</w:t>
      </w:r>
      <w:r>
        <w:rPr>
          <w:rFonts w:ascii="宋体" w:hAnsi="宋体" w:eastAsia="宋体" w:cs="宋体"/>
          <w:spacing w:val="49"/>
          <w:sz w:val="23"/>
          <w:szCs w:val="23"/>
        </w:rPr>
        <w:t xml:space="preserve"> </w:t>
      </w:r>
      <w:r>
        <w:rPr>
          <w:rFonts w:ascii="宋体" w:hAnsi="宋体" w:eastAsia="宋体" w:cs="宋体"/>
          <w:spacing w:val="-2"/>
          <w:sz w:val="23"/>
          <w:szCs w:val="23"/>
        </w:rPr>
        <w:t>概况</w:t>
      </w:r>
    </w:p>
    <w:p w14:paraId="5DFF2A38">
      <w:pPr>
        <w:spacing w:before="188" w:line="219" w:lineRule="auto"/>
        <w:ind w:left="479"/>
        <w:rPr>
          <w:rFonts w:ascii="宋体" w:hAnsi="宋体" w:eastAsia="宋体" w:cs="宋体"/>
          <w:sz w:val="25"/>
          <w:szCs w:val="25"/>
        </w:rPr>
      </w:pPr>
      <w:r>
        <w:rPr>
          <w:rFonts w:ascii="宋体" w:hAnsi="宋体" w:eastAsia="宋体" w:cs="宋体"/>
          <w:spacing w:val="-12"/>
          <w:sz w:val="25"/>
          <w:szCs w:val="25"/>
        </w:rPr>
        <w:t>石拐，素有“塞外煤城”之称，是自治区最早的工业区，是国家“一五”时</w:t>
      </w:r>
    </w:p>
    <w:p w14:paraId="2E9EF775">
      <w:pPr>
        <w:spacing w:line="219" w:lineRule="auto"/>
        <w:rPr>
          <w:rFonts w:ascii="宋体" w:hAnsi="宋体" w:eastAsia="宋体" w:cs="宋体"/>
          <w:sz w:val="25"/>
          <w:szCs w:val="25"/>
        </w:rPr>
        <w:sectPr>
          <w:footerReference r:id="rId11" w:type="default"/>
          <w:pgSz w:w="11910" w:h="16850"/>
          <w:pgMar w:top="1384" w:right="1786" w:bottom="1503" w:left="1630" w:header="0" w:footer="1343" w:gutter="0"/>
          <w:cols w:space="720" w:num="1"/>
        </w:sectPr>
      </w:pPr>
    </w:p>
    <w:p w14:paraId="48D16419">
      <w:pPr>
        <w:spacing w:before="196" w:line="355" w:lineRule="auto"/>
        <w:ind w:right="43"/>
        <w:jc w:val="both"/>
        <w:rPr>
          <w:rFonts w:ascii="宋体" w:hAnsi="宋体" w:eastAsia="宋体" w:cs="宋体"/>
          <w:sz w:val="24"/>
          <w:szCs w:val="24"/>
        </w:rPr>
      </w:pPr>
      <w:bookmarkStart w:id="23" w:name="bookmark72"/>
      <w:bookmarkEnd w:id="23"/>
      <w:r>
        <w:rPr>
          <w:rFonts w:ascii="宋体" w:hAnsi="宋体" w:eastAsia="宋体" w:cs="宋体"/>
          <w:color w:val="506060"/>
          <w:spacing w:val="-2"/>
          <w:sz w:val="24"/>
          <w:szCs w:val="24"/>
        </w:rPr>
        <w:t>期重要的基础能源基地。历经半个多世纪大规模开采，煤炭资源日趋枯竭，</w:t>
      </w:r>
      <w:r>
        <w:rPr>
          <w:rFonts w:ascii="宋体" w:hAnsi="宋体" w:eastAsia="宋体" w:cs="宋体"/>
          <w:color w:val="506060"/>
          <w:spacing w:val="-3"/>
          <w:sz w:val="24"/>
          <w:szCs w:val="24"/>
        </w:rPr>
        <w:t>一煤</w:t>
      </w:r>
      <w:r>
        <w:rPr>
          <w:rFonts w:ascii="宋体" w:hAnsi="宋体" w:eastAsia="宋体" w:cs="宋体"/>
          <w:color w:val="506060"/>
          <w:sz w:val="24"/>
          <w:szCs w:val="24"/>
        </w:rPr>
        <w:t xml:space="preserve"> </w:t>
      </w:r>
      <w:r>
        <w:rPr>
          <w:rFonts w:ascii="宋体" w:hAnsi="宋体" w:eastAsia="宋体" w:cs="宋体"/>
          <w:color w:val="506060"/>
          <w:spacing w:val="-6"/>
          <w:sz w:val="24"/>
          <w:szCs w:val="24"/>
        </w:rPr>
        <w:t>支撑的产业逐渐萎缩，经济和社会矛盾日益凸显。石拐区政府针对煤</w:t>
      </w:r>
      <w:r>
        <w:rPr>
          <w:rFonts w:ascii="宋体" w:hAnsi="宋体" w:eastAsia="宋体" w:cs="宋体"/>
          <w:color w:val="506060"/>
          <w:spacing w:val="-7"/>
          <w:sz w:val="24"/>
          <w:szCs w:val="24"/>
        </w:rPr>
        <w:t>炭产业枯竭、</w:t>
      </w:r>
      <w:r>
        <w:rPr>
          <w:rFonts w:ascii="宋体" w:hAnsi="宋体" w:eastAsia="宋体" w:cs="宋体"/>
          <w:color w:val="506060"/>
          <w:sz w:val="24"/>
          <w:szCs w:val="24"/>
        </w:rPr>
        <w:t xml:space="preserve"> </w:t>
      </w:r>
      <w:r>
        <w:rPr>
          <w:rFonts w:ascii="宋体" w:hAnsi="宋体" w:eastAsia="宋体" w:cs="宋体"/>
          <w:color w:val="607070"/>
          <w:spacing w:val="10"/>
          <w:sz w:val="24"/>
          <w:szCs w:val="24"/>
        </w:rPr>
        <w:t>经济发展受到限制的情况，于2001年，开</w:t>
      </w:r>
      <w:r>
        <w:rPr>
          <w:rFonts w:ascii="宋体" w:hAnsi="宋体" w:eastAsia="宋体" w:cs="宋体"/>
          <w:color w:val="506060"/>
          <w:spacing w:val="10"/>
          <w:sz w:val="24"/>
          <w:szCs w:val="24"/>
        </w:rPr>
        <w:t>始了工业园区的筹建，2006年7</w:t>
      </w:r>
      <w:r>
        <w:rPr>
          <w:rFonts w:ascii="宋体" w:hAnsi="宋体" w:eastAsia="宋体" w:cs="宋体"/>
          <w:color w:val="506060"/>
          <w:spacing w:val="9"/>
          <w:sz w:val="24"/>
          <w:szCs w:val="24"/>
        </w:rPr>
        <w:t>月，</w:t>
      </w:r>
      <w:r>
        <w:rPr>
          <w:rFonts w:ascii="宋体" w:hAnsi="宋体" w:eastAsia="宋体" w:cs="宋体"/>
          <w:color w:val="506060"/>
          <w:sz w:val="24"/>
          <w:szCs w:val="24"/>
        </w:rPr>
        <w:t xml:space="preserve"> </w:t>
      </w:r>
      <w:r>
        <w:rPr>
          <w:rFonts w:ascii="宋体" w:hAnsi="宋体" w:eastAsia="宋体" w:cs="宋体"/>
          <w:color w:val="607070"/>
          <w:spacing w:val="-1"/>
          <w:sz w:val="24"/>
          <w:szCs w:val="24"/>
        </w:rPr>
        <w:t>经自治区政府和国家发改委正式批准成为省级工业园区，</w:t>
      </w:r>
      <w:r>
        <w:rPr>
          <w:rFonts w:ascii="宋体" w:hAnsi="宋体" w:eastAsia="宋体" w:cs="宋体"/>
          <w:color w:val="506060"/>
          <w:spacing w:val="-1"/>
          <w:sz w:val="24"/>
          <w:szCs w:val="24"/>
        </w:rPr>
        <w:t>初步形成了硅系合金、</w:t>
      </w:r>
      <w:r>
        <w:rPr>
          <w:rFonts w:ascii="宋体" w:hAnsi="宋体" w:eastAsia="宋体" w:cs="宋体"/>
          <w:color w:val="506060"/>
          <w:spacing w:val="13"/>
          <w:sz w:val="24"/>
          <w:szCs w:val="24"/>
        </w:rPr>
        <w:t xml:space="preserve"> </w:t>
      </w:r>
      <w:r>
        <w:rPr>
          <w:rFonts w:ascii="宋体" w:hAnsi="宋体" w:eastAsia="宋体" w:cs="宋体"/>
          <w:color w:val="506060"/>
          <w:spacing w:val="4"/>
          <w:sz w:val="24"/>
          <w:szCs w:val="24"/>
        </w:rPr>
        <w:t>电石、工业硅和粗铜为主的产业群。2012年内</w:t>
      </w:r>
      <w:r>
        <w:rPr>
          <w:rFonts w:ascii="宋体" w:hAnsi="宋体" w:eastAsia="宋体" w:cs="宋体"/>
          <w:color w:val="506060"/>
          <w:spacing w:val="3"/>
          <w:sz w:val="24"/>
          <w:szCs w:val="24"/>
        </w:rPr>
        <w:t>蒙古自治区人民政府下发了《关</w:t>
      </w:r>
    </w:p>
    <w:p w14:paraId="47749C0E">
      <w:pPr>
        <w:spacing w:line="216" w:lineRule="auto"/>
        <w:rPr>
          <w:rFonts w:ascii="宋体" w:hAnsi="宋体" w:eastAsia="宋体" w:cs="宋体"/>
          <w:sz w:val="24"/>
          <w:szCs w:val="24"/>
        </w:rPr>
      </w:pPr>
      <w:r>
        <w:rPr>
          <w:rFonts w:ascii="宋体" w:hAnsi="宋体" w:eastAsia="宋体" w:cs="宋体"/>
          <w:color w:val="205040"/>
          <w:spacing w:val="10"/>
          <w:sz w:val="24"/>
          <w:szCs w:val="24"/>
        </w:rPr>
        <w:t>于扩展包头石拐工业园区区域的批复文件(</w:t>
      </w:r>
      <w:r>
        <w:rPr>
          <w:rFonts w:ascii="宋体" w:hAnsi="宋体" w:eastAsia="宋体" w:cs="宋体"/>
          <w:color w:val="205040"/>
          <w:spacing w:val="9"/>
          <w:sz w:val="24"/>
          <w:szCs w:val="24"/>
        </w:rPr>
        <w:t>内政字[2012]412)》,2014年取得</w:t>
      </w:r>
    </w:p>
    <w:p w14:paraId="158A282E">
      <w:pPr>
        <w:spacing w:before="182" w:line="357" w:lineRule="auto"/>
        <w:ind w:right="83"/>
        <w:rPr>
          <w:rFonts w:ascii="宋体" w:hAnsi="宋体" w:eastAsia="宋体" w:cs="宋体"/>
          <w:sz w:val="24"/>
          <w:szCs w:val="24"/>
        </w:rPr>
      </w:pPr>
      <w:r>
        <w:rPr>
          <w:rFonts w:ascii="宋体" w:hAnsi="宋体" w:eastAsia="宋体" w:cs="宋体"/>
          <w:color w:val="506060"/>
          <w:sz w:val="24"/>
          <w:szCs w:val="24"/>
        </w:rPr>
        <w:t>了内蒙古自治区住房和城乡建设厅关于内蒙古包头</w:t>
      </w:r>
      <w:r>
        <w:rPr>
          <w:rFonts w:ascii="宋体" w:hAnsi="宋体" w:eastAsia="宋体" w:cs="宋体"/>
          <w:color w:val="506060"/>
          <w:spacing w:val="-1"/>
          <w:sz w:val="24"/>
          <w:szCs w:val="24"/>
        </w:rPr>
        <w:t>石拐工业园区总体规划的批</w:t>
      </w:r>
      <w:r>
        <w:rPr>
          <w:rFonts w:ascii="宋体" w:hAnsi="宋体" w:eastAsia="宋体" w:cs="宋体"/>
          <w:color w:val="506060"/>
          <w:sz w:val="24"/>
          <w:szCs w:val="24"/>
        </w:rPr>
        <w:t xml:space="preserve">   </w:t>
      </w:r>
      <w:r>
        <w:rPr>
          <w:rFonts w:ascii="宋体" w:hAnsi="宋体" w:eastAsia="宋体" w:cs="宋体"/>
          <w:color w:val="506060"/>
          <w:spacing w:val="9"/>
          <w:sz w:val="24"/>
          <w:szCs w:val="24"/>
        </w:rPr>
        <w:t>复(内建规[2014]122号)。园区“一轴三核”联动</w:t>
      </w:r>
      <w:r>
        <w:rPr>
          <w:rFonts w:ascii="宋体" w:hAnsi="宋体" w:eastAsia="宋体" w:cs="宋体"/>
          <w:color w:val="506060"/>
          <w:spacing w:val="8"/>
          <w:sz w:val="24"/>
          <w:szCs w:val="24"/>
        </w:rPr>
        <w:t>发展、包括三个产业园区：</w:t>
      </w:r>
      <w:r>
        <w:rPr>
          <w:rFonts w:ascii="宋体" w:hAnsi="宋体" w:eastAsia="宋体" w:cs="宋体"/>
          <w:color w:val="506060"/>
          <w:sz w:val="24"/>
          <w:szCs w:val="24"/>
        </w:rPr>
        <w:t xml:space="preserve"> </w:t>
      </w:r>
      <w:r>
        <w:rPr>
          <w:rFonts w:ascii="宋体" w:hAnsi="宋体" w:eastAsia="宋体" w:cs="宋体"/>
          <w:color w:val="506060"/>
          <w:spacing w:val="-1"/>
          <w:sz w:val="24"/>
          <w:szCs w:val="24"/>
        </w:rPr>
        <w:t>新材料及物流产业园区、冶金材料产业园区和煤炭及煤层气综合利用产业园区，</w:t>
      </w:r>
      <w:r>
        <w:rPr>
          <w:rFonts w:ascii="宋体" w:hAnsi="宋体" w:eastAsia="宋体" w:cs="宋体"/>
          <w:color w:val="506060"/>
          <w:spacing w:val="13"/>
          <w:sz w:val="24"/>
          <w:szCs w:val="24"/>
        </w:rPr>
        <w:t xml:space="preserve"> </w:t>
      </w:r>
      <w:r>
        <w:rPr>
          <w:rFonts w:ascii="宋体" w:hAnsi="宋体" w:eastAsia="宋体" w:cs="宋体"/>
          <w:color w:val="506060"/>
          <w:spacing w:val="-2"/>
          <w:sz w:val="24"/>
          <w:szCs w:val="24"/>
        </w:rPr>
        <w:t>该园区是以有色金属及材料生产加工、现代装备制造产业</w:t>
      </w:r>
      <w:r>
        <w:rPr>
          <w:rFonts w:ascii="宋体" w:hAnsi="宋体" w:eastAsia="宋体" w:cs="宋体"/>
          <w:color w:val="506060"/>
          <w:spacing w:val="-3"/>
          <w:sz w:val="24"/>
          <w:szCs w:val="24"/>
        </w:rPr>
        <w:t>为主的自治区级工业园</w:t>
      </w:r>
      <w:r>
        <w:rPr>
          <w:rFonts w:ascii="宋体" w:hAnsi="宋体" w:eastAsia="宋体" w:cs="宋体"/>
          <w:color w:val="506060"/>
          <w:sz w:val="24"/>
          <w:szCs w:val="24"/>
        </w:rPr>
        <w:t xml:space="preserve"> </w:t>
      </w:r>
      <w:r>
        <w:rPr>
          <w:rFonts w:ascii="宋体" w:hAnsi="宋体" w:eastAsia="宋体" w:cs="宋体"/>
          <w:color w:val="506060"/>
          <w:spacing w:val="-14"/>
          <w:sz w:val="24"/>
          <w:szCs w:val="24"/>
        </w:rPr>
        <w:t>区。</w:t>
      </w:r>
    </w:p>
    <w:p w14:paraId="250BCAE1">
      <w:pPr>
        <w:spacing w:before="41" w:line="347" w:lineRule="auto"/>
        <w:ind w:right="143" w:firstLine="509"/>
        <w:jc w:val="both"/>
        <w:rPr>
          <w:rFonts w:ascii="宋体" w:hAnsi="宋体" w:eastAsia="宋体" w:cs="宋体"/>
          <w:sz w:val="25"/>
          <w:szCs w:val="25"/>
        </w:rPr>
      </w:pPr>
      <w:r>
        <w:rPr>
          <w:rFonts w:ascii="宋体" w:hAnsi="宋体" w:eastAsia="宋体" w:cs="宋体"/>
          <w:color w:val="506060"/>
          <w:spacing w:val="4"/>
          <w:sz w:val="25"/>
          <w:szCs w:val="25"/>
        </w:rPr>
        <w:t>据统计，石拐区2016年生产总值103.61×108元，增长7.5%;</w:t>
      </w:r>
      <w:r>
        <w:rPr>
          <w:rFonts w:ascii="宋体" w:hAnsi="宋体" w:eastAsia="宋体" w:cs="宋体"/>
          <w:color w:val="506060"/>
          <w:spacing w:val="-34"/>
          <w:sz w:val="25"/>
          <w:szCs w:val="25"/>
        </w:rPr>
        <w:t xml:space="preserve"> </w:t>
      </w:r>
      <w:r>
        <w:rPr>
          <w:rFonts w:ascii="宋体" w:hAnsi="宋体" w:eastAsia="宋体" w:cs="宋体"/>
          <w:color w:val="707070"/>
          <w:spacing w:val="4"/>
          <w:sz w:val="25"/>
          <w:szCs w:val="25"/>
        </w:rPr>
        <w:t>固定资产</w:t>
      </w:r>
      <w:r>
        <w:rPr>
          <w:rFonts w:ascii="宋体" w:hAnsi="宋体" w:eastAsia="宋体" w:cs="宋体"/>
          <w:color w:val="707070"/>
          <w:sz w:val="25"/>
          <w:szCs w:val="25"/>
        </w:rPr>
        <w:t xml:space="preserve"> </w:t>
      </w:r>
      <w:r>
        <w:rPr>
          <w:rFonts w:ascii="宋体" w:hAnsi="宋体" w:eastAsia="宋体" w:cs="宋体"/>
          <w:color w:val="506060"/>
          <w:spacing w:val="2"/>
          <w:sz w:val="25"/>
          <w:szCs w:val="25"/>
        </w:rPr>
        <w:t>投资完成74.4 亿元，增长14.4%;城乡居民收</w:t>
      </w:r>
      <w:r>
        <w:rPr>
          <w:rFonts w:ascii="宋体" w:hAnsi="宋体" w:eastAsia="宋体" w:cs="宋体"/>
          <w:color w:val="506060"/>
          <w:spacing w:val="1"/>
          <w:sz w:val="25"/>
          <w:szCs w:val="25"/>
        </w:rPr>
        <w:t>入达到35722 元和13429元，增</w:t>
      </w:r>
      <w:r>
        <w:rPr>
          <w:rFonts w:ascii="宋体" w:hAnsi="宋体" w:eastAsia="宋体" w:cs="宋体"/>
          <w:color w:val="506060"/>
          <w:sz w:val="25"/>
          <w:szCs w:val="25"/>
        </w:rPr>
        <w:t xml:space="preserve"> </w:t>
      </w:r>
      <w:r>
        <w:rPr>
          <w:rFonts w:ascii="宋体" w:hAnsi="宋体" w:eastAsia="宋体" w:cs="宋体"/>
          <w:color w:val="506060"/>
          <w:spacing w:val="1"/>
          <w:sz w:val="25"/>
          <w:szCs w:val="25"/>
        </w:rPr>
        <w:t>幅分别为7.6%和7.7%。</w:t>
      </w:r>
    </w:p>
    <w:p w14:paraId="007ACA5B">
      <w:pPr>
        <w:spacing w:before="17" w:line="219" w:lineRule="auto"/>
        <w:ind w:left="159"/>
        <w:rPr>
          <w:rFonts w:ascii="宋体" w:hAnsi="宋体" w:eastAsia="宋体" w:cs="宋体"/>
          <w:sz w:val="24"/>
          <w:szCs w:val="24"/>
        </w:rPr>
      </w:pPr>
      <w:r>
        <w:rPr>
          <w:rFonts w:ascii="宋体" w:hAnsi="宋体" w:eastAsia="宋体" w:cs="宋体"/>
          <w:color w:val="506060"/>
          <w:spacing w:val="14"/>
          <w:sz w:val="24"/>
          <w:szCs w:val="24"/>
        </w:rPr>
        <w:t>(2)产业结构及布局</w:t>
      </w:r>
    </w:p>
    <w:p w14:paraId="6E62A669">
      <w:pPr>
        <w:pStyle w:val="2"/>
        <w:spacing w:before="170" w:line="354" w:lineRule="auto"/>
        <w:ind w:right="111" w:firstLine="509"/>
        <w:rPr>
          <w:rFonts w:ascii="宋体" w:hAnsi="宋体" w:eastAsia="宋体" w:cs="宋体"/>
          <w:sz w:val="24"/>
          <w:szCs w:val="24"/>
        </w:rPr>
      </w:pPr>
      <w:r>
        <w:rPr>
          <w:rFonts w:ascii="宋体" w:hAnsi="宋体" w:eastAsia="宋体" w:cs="宋体"/>
          <w:color w:val="506060"/>
          <w:spacing w:val="-1"/>
          <w:sz w:val="25"/>
          <w:szCs w:val="25"/>
        </w:rPr>
        <w:t>包头石拐工业园区规划总面积60.38平方公里，总建设用地面积为44.6平</w:t>
      </w:r>
      <w:r>
        <w:rPr>
          <w:rFonts w:ascii="宋体" w:hAnsi="宋体" w:eastAsia="宋体" w:cs="宋体"/>
          <w:color w:val="506060"/>
          <w:spacing w:val="1"/>
          <w:sz w:val="25"/>
          <w:szCs w:val="25"/>
        </w:rPr>
        <w:t xml:space="preserve"> </w:t>
      </w:r>
      <w:r>
        <w:rPr>
          <w:rFonts w:ascii="宋体" w:hAnsi="宋体" w:eastAsia="宋体" w:cs="宋体"/>
          <w:color w:val="506060"/>
          <w:spacing w:val="-5"/>
          <w:sz w:val="25"/>
          <w:szCs w:val="25"/>
        </w:rPr>
        <w:t>方公里。累计完成固定资产投资135 亿元，实现工业总产值422 亿元，上缴税</w:t>
      </w:r>
      <w:r>
        <w:rPr>
          <w:rFonts w:ascii="宋体" w:hAnsi="宋体" w:eastAsia="宋体" w:cs="宋体"/>
          <w:color w:val="506060"/>
          <w:sz w:val="25"/>
          <w:szCs w:val="25"/>
        </w:rPr>
        <w:t xml:space="preserve"> </w:t>
      </w:r>
      <w:r>
        <w:rPr>
          <w:rFonts w:ascii="宋体" w:hAnsi="宋体" w:eastAsia="宋体" w:cs="宋体"/>
          <w:color w:val="506060"/>
          <w:spacing w:val="1"/>
          <w:sz w:val="24"/>
          <w:szCs w:val="24"/>
        </w:rPr>
        <w:t>金9.8亿元。基本形成镁合金及应用、煤炭综合利用、特种钢深</w:t>
      </w:r>
      <w:r>
        <w:rPr>
          <w:rFonts w:ascii="宋体" w:hAnsi="宋体" w:eastAsia="宋体" w:cs="宋体"/>
          <w:color w:val="506060"/>
          <w:sz w:val="24"/>
          <w:szCs w:val="24"/>
        </w:rPr>
        <w:t>加工、多元素基 础材料合金加工、工业废渣循环利用五</w:t>
      </w:r>
      <w:r>
        <w:rPr>
          <w:rFonts w:ascii="宋体" w:hAnsi="宋体" w:eastAsia="宋体" w:cs="宋体"/>
          <w:color w:val="607070"/>
          <w:sz w:val="24"/>
          <w:szCs w:val="24"/>
        </w:rPr>
        <w:t>个在自治区具有规模经济优势的产业集</w:t>
      </w:r>
      <w:r>
        <w:rPr>
          <w:rFonts w:ascii="宋体" w:hAnsi="宋体" w:eastAsia="宋体" w:cs="宋体"/>
          <w:color w:val="607070"/>
          <w:spacing w:val="9"/>
          <w:sz w:val="24"/>
          <w:szCs w:val="24"/>
        </w:rPr>
        <w:t xml:space="preserve">  </w:t>
      </w:r>
      <w:r>
        <w:rPr>
          <w:rFonts w:ascii="宋体" w:hAnsi="宋体" w:eastAsia="宋体" w:cs="宋体"/>
          <w:color w:val="506060"/>
          <w:spacing w:val="-3"/>
          <w:sz w:val="24"/>
          <w:szCs w:val="24"/>
        </w:rPr>
        <w:t>群。园区内主要原料包括：铁精矿、洗精煤、焦炭、煤粉、膨润土、熔剂、生石</w:t>
      </w:r>
      <w:r>
        <w:rPr>
          <w:rFonts w:ascii="宋体" w:hAnsi="宋体" w:eastAsia="宋体" w:cs="宋体"/>
          <w:color w:val="506060"/>
          <w:spacing w:val="16"/>
          <w:sz w:val="24"/>
          <w:szCs w:val="24"/>
        </w:rPr>
        <w:t xml:space="preserve"> </w:t>
      </w:r>
      <w:r>
        <w:rPr>
          <w:rFonts w:ascii="宋体" w:hAnsi="宋体" w:eastAsia="宋体" w:cs="宋体"/>
          <w:color w:val="506060"/>
          <w:spacing w:val="-3"/>
          <w:sz w:val="24"/>
          <w:szCs w:val="24"/>
        </w:rPr>
        <w:t>灰、钢材、电极糊、硅石、石灰石等。园区内原料场均采用封闭和半封闭堆存方</w:t>
      </w:r>
      <w:r>
        <w:rPr>
          <w:rFonts w:ascii="宋体" w:hAnsi="宋体" w:eastAsia="宋体" w:cs="宋体"/>
          <w:color w:val="506060"/>
          <w:spacing w:val="13"/>
          <w:sz w:val="24"/>
          <w:szCs w:val="24"/>
        </w:rPr>
        <w:t xml:space="preserve"> </w:t>
      </w:r>
      <w:r>
        <w:rPr>
          <w:color w:val="506060"/>
          <w:spacing w:val="-1"/>
          <w:sz w:val="24"/>
          <w:szCs w:val="24"/>
        </w:rPr>
        <w:t>式。</w:t>
      </w:r>
      <w:r>
        <w:rPr>
          <w:rFonts w:ascii="宋体" w:hAnsi="宋体" w:eastAsia="宋体" w:cs="宋体"/>
          <w:color w:val="506060"/>
          <w:spacing w:val="-1"/>
          <w:sz w:val="24"/>
          <w:szCs w:val="24"/>
        </w:rPr>
        <w:t>园区生产生活废水排入石拐污水厂经处理后回用。</w:t>
      </w:r>
    </w:p>
    <w:p w14:paraId="26AB8FFF">
      <w:pPr>
        <w:spacing w:before="17" w:line="219" w:lineRule="auto"/>
        <w:ind w:left="159"/>
        <w:rPr>
          <w:rFonts w:ascii="宋体" w:hAnsi="宋体" w:eastAsia="宋体" w:cs="宋体"/>
          <w:sz w:val="24"/>
          <w:szCs w:val="24"/>
        </w:rPr>
      </w:pPr>
      <w:r>
        <w:rPr>
          <w:rFonts w:ascii="宋体" w:hAnsi="宋体" w:eastAsia="宋体" w:cs="宋体"/>
          <w:color w:val="506060"/>
          <w:spacing w:val="11"/>
          <w:sz w:val="24"/>
          <w:szCs w:val="24"/>
        </w:rPr>
        <w:t>(3)水源地周围工业结构</w:t>
      </w:r>
    </w:p>
    <w:p w14:paraId="548AED93">
      <w:pPr>
        <w:spacing w:before="185" w:line="364" w:lineRule="auto"/>
        <w:ind w:right="171" w:firstLine="509"/>
        <w:jc w:val="both"/>
        <w:rPr>
          <w:rFonts w:ascii="宋体" w:hAnsi="宋体" w:eastAsia="宋体" w:cs="宋体"/>
          <w:sz w:val="24"/>
          <w:szCs w:val="24"/>
        </w:rPr>
      </w:pPr>
      <w:r>
        <w:rPr>
          <w:rFonts w:ascii="宋体" w:hAnsi="宋体" w:eastAsia="宋体" w:cs="宋体"/>
          <w:color w:val="506060"/>
          <w:sz w:val="24"/>
          <w:szCs w:val="24"/>
        </w:rPr>
        <w:t>水源地位于包头市石拐工业园区的冶金材料产业园区和煤炭及煤层气综合</w:t>
      </w:r>
      <w:r>
        <w:rPr>
          <w:rFonts w:ascii="宋体" w:hAnsi="宋体" w:eastAsia="宋体" w:cs="宋体"/>
          <w:color w:val="506060"/>
          <w:spacing w:val="9"/>
          <w:sz w:val="24"/>
          <w:szCs w:val="24"/>
        </w:rPr>
        <w:t xml:space="preserve"> </w:t>
      </w:r>
      <w:r>
        <w:rPr>
          <w:rFonts w:ascii="宋体" w:hAnsi="宋体" w:eastAsia="宋体" w:cs="宋体"/>
          <w:color w:val="506060"/>
          <w:spacing w:val="2"/>
          <w:sz w:val="24"/>
          <w:szCs w:val="24"/>
        </w:rPr>
        <w:t>利用产业园区之间。1#井距离冶金材料产业园区约2.8</w:t>
      </w:r>
      <w:r>
        <w:rPr>
          <w:rFonts w:ascii="Times New Roman" w:hAnsi="Times New Roman" w:eastAsia="Times New Roman" w:cs="Times New Roman"/>
          <w:color w:val="506060"/>
          <w:sz w:val="24"/>
          <w:szCs w:val="24"/>
        </w:rPr>
        <w:t>km</w:t>
      </w:r>
      <w:r>
        <w:rPr>
          <w:rFonts w:ascii="Times New Roman" w:hAnsi="Times New Roman" w:eastAsia="Times New Roman" w:cs="Times New Roman"/>
          <w:color w:val="506060"/>
          <w:spacing w:val="1"/>
          <w:sz w:val="24"/>
          <w:szCs w:val="24"/>
        </w:rPr>
        <w:t xml:space="preserve">, </w:t>
      </w:r>
      <w:r>
        <w:rPr>
          <w:rFonts w:ascii="宋体" w:hAnsi="宋体" w:eastAsia="宋体" w:cs="宋体"/>
          <w:color w:val="506060"/>
          <w:spacing w:val="1"/>
          <w:sz w:val="24"/>
          <w:szCs w:val="24"/>
        </w:rPr>
        <w:t>距离煤炭及煤层气综</w:t>
      </w:r>
      <w:r>
        <w:rPr>
          <w:rFonts w:ascii="宋体" w:hAnsi="宋体" w:eastAsia="宋体" w:cs="宋体"/>
          <w:color w:val="506060"/>
          <w:sz w:val="24"/>
          <w:szCs w:val="24"/>
        </w:rPr>
        <w:t xml:space="preserve"> </w:t>
      </w:r>
      <w:r>
        <w:rPr>
          <w:rFonts w:ascii="宋体" w:hAnsi="宋体" w:eastAsia="宋体" w:cs="宋体"/>
          <w:color w:val="506060"/>
          <w:spacing w:val="-2"/>
          <w:sz w:val="24"/>
          <w:szCs w:val="24"/>
        </w:rPr>
        <w:t>合利用产业园区1.</w:t>
      </w:r>
      <w:r>
        <w:rPr>
          <w:rFonts w:ascii="Times New Roman" w:hAnsi="Times New Roman" w:eastAsia="Times New Roman" w:cs="Times New Roman"/>
          <w:color w:val="506060"/>
          <w:spacing w:val="-2"/>
          <w:sz w:val="24"/>
          <w:szCs w:val="24"/>
        </w:rPr>
        <w:t>8</w:t>
      </w:r>
      <w:r>
        <w:rPr>
          <w:rFonts w:ascii="Times New Roman" w:hAnsi="Times New Roman" w:eastAsia="Times New Roman" w:cs="Times New Roman"/>
          <w:color w:val="506060"/>
          <w:spacing w:val="-29"/>
          <w:sz w:val="24"/>
          <w:szCs w:val="24"/>
        </w:rPr>
        <w:t xml:space="preserve"> </w:t>
      </w:r>
      <w:r>
        <w:rPr>
          <w:rFonts w:ascii="Times New Roman" w:hAnsi="Times New Roman" w:eastAsia="Times New Roman" w:cs="Times New Roman"/>
          <w:color w:val="506060"/>
          <w:spacing w:val="-2"/>
          <w:sz w:val="24"/>
          <w:szCs w:val="24"/>
        </w:rPr>
        <w:t>km</w:t>
      </w:r>
      <w:r>
        <w:rPr>
          <w:rFonts w:ascii="宋体" w:hAnsi="宋体" w:eastAsia="宋体" w:cs="宋体"/>
          <w:color w:val="506060"/>
          <w:spacing w:val="-2"/>
          <w:sz w:val="24"/>
          <w:szCs w:val="24"/>
        </w:rPr>
        <w:t>。</w:t>
      </w:r>
    </w:p>
    <w:p w14:paraId="2651782F">
      <w:pPr>
        <w:spacing w:line="220" w:lineRule="auto"/>
        <w:ind w:left="159"/>
        <w:rPr>
          <w:rFonts w:ascii="宋体" w:hAnsi="宋体" w:eastAsia="宋体" w:cs="宋体"/>
          <w:sz w:val="23"/>
          <w:szCs w:val="23"/>
        </w:rPr>
      </w:pPr>
      <w:r>
        <w:rPr>
          <w:rFonts w:ascii="宋体" w:hAnsi="宋体" w:eastAsia="宋体" w:cs="宋体"/>
          <w:color w:val="506060"/>
          <w:sz w:val="23"/>
          <w:szCs w:val="23"/>
        </w:rPr>
        <w:t>(4)</w:t>
      </w:r>
      <w:r>
        <w:rPr>
          <w:rFonts w:ascii="宋体" w:hAnsi="宋体" w:eastAsia="宋体" w:cs="宋体"/>
          <w:color w:val="506060"/>
          <w:spacing w:val="54"/>
          <w:sz w:val="23"/>
          <w:szCs w:val="23"/>
        </w:rPr>
        <w:t xml:space="preserve"> </w:t>
      </w:r>
      <w:r>
        <w:rPr>
          <w:rFonts w:ascii="宋体" w:hAnsi="宋体" w:eastAsia="宋体" w:cs="宋体"/>
          <w:color w:val="506060"/>
          <w:sz w:val="23"/>
          <w:szCs w:val="23"/>
        </w:rPr>
        <w:t>能源结构</w:t>
      </w:r>
    </w:p>
    <w:p w14:paraId="2ECAD09E">
      <w:pPr>
        <w:spacing w:before="188" w:line="348" w:lineRule="auto"/>
        <w:ind w:right="125" w:firstLine="509"/>
        <w:rPr>
          <w:rFonts w:ascii="宋体" w:hAnsi="宋体" w:eastAsia="宋体" w:cs="宋体"/>
          <w:sz w:val="25"/>
          <w:szCs w:val="25"/>
        </w:rPr>
      </w:pPr>
      <w:r>
        <w:rPr>
          <w:rFonts w:ascii="宋体" w:hAnsi="宋体" w:eastAsia="宋体" w:cs="宋体"/>
          <w:color w:val="506060"/>
          <w:spacing w:val="-13"/>
          <w:sz w:val="25"/>
          <w:szCs w:val="25"/>
        </w:rPr>
        <w:t>石拐区能源消费以原煤为主，清洁能源消费比重小。工业企业能源消费品种</w:t>
      </w:r>
      <w:r>
        <w:rPr>
          <w:rFonts w:ascii="宋体" w:hAnsi="宋体" w:eastAsia="宋体" w:cs="宋体"/>
          <w:color w:val="506060"/>
          <w:spacing w:val="5"/>
          <w:sz w:val="25"/>
          <w:szCs w:val="25"/>
        </w:rPr>
        <w:t xml:space="preserve"> </w:t>
      </w:r>
      <w:r>
        <w:rPr>
          <w:rFonts w:ascii="宋体" w:hAnsi="宋体" w:eastAsia="宋体" w:cs="宋体"/>
          <w:color w:val="506060"/>
          <w:spacing w:val="-5"/>
          <w:sz w:val="25"/>
          <w:szCs w:val="25"/>
        </w:rPr>
        <w:t>主要有7种，为原煤、焦炭、天然气、电力、柴油、汽油、液化石油气。工业</w:t>
      </w:r>
    </w:p>
    <w:p w14:paraId="41B191BA">
      <w:pPr>
        <w:spacing w:line="348" w:lineRule="auto"/>
        <w:rPr>
          <w:rFonts w:ascii="宋体" w:hAnsi="宋体" w:eastAsia="宋体" w:cs="宋体"/>
          <w:sz w:val="25"/>
          <w:szCs w:val="25"/>
        </w:rPr>
        <w:sectPr>
          <w:footerReference r:id="rId12" w:type="default"/>
          <w:pgSz w:w="11910" w:h="16850"/>
          <w:pgMar w:top="1432" w:right="1786" w:bottom="1345" w:left="1660" w:header="0" w:footer="1183" w:gutter="0"/>
          <w:cols w:space="720" w:num="1"/>
        </w:sectPr>
      </w:pPr>
    </w:p>
    <w:p w14:paraId="7A08CC9E">
      <w:pPr>
        <w:spacing w:before="46" w:line="362" w:lineRule="auto"/>
        <w:ind w:right="165"/>
        <w:rPr>
          <w:rFonts w:ascii="宋体" w:hAnsi="宋体" w:eastAsia="宋体" w:cs="宋体"/>
          <w:sz w:val="24"/>
          <w:szCs w:val="24"/>
        </w:rPr>
      </w:pPr>
      <w:r>
        <w:rPr>
          <w:rFonts w:ascii="宋体" w:hAnsi="宋体" w:eastAsia="宋体" w:cs="宋体"/>
          <w:spacing w:val="-2"/>
          <w:sz w:val="24"/>
          <w:szCs w:val="24"/>
        </w:rPr>
        <w:t>企业主要能源消费品为煤炭，原煤综合消费消费比重大，其他品种占比重低，特</w:t>
      </w:r>
      <w:r>
        <w:rPr>
          <w:rFonts w:ascii="宋体" w:hAnsi="宋体" w:eastAsia="宋体" w:cs="宋体"/>
          <w:spacing w:val="7"/>
          <w:sz w:val="24"/>
          <w:szCs w:val="24"/>
        </w:rPr>
        <w:t xml:space="preserve"> </w:t>
      </w:r>
      <w:r>
        <w:rPr>
          <w:rFonts w:ascii="宋体" w:hAnsi="宋体" w:eastAsia="宋体" w:cs="宋体"/>
          <w:sz w:val="24"/>
          <w:szCs w:val="24"/>
        </w:rPr>
        <w:t>别是清洁能源消耗比重低。</w:t>
      </w:r>
    </w:p>
    <w:p w14:paraId="40BA6466">
      <w:pPr>
        <w:spacing w:line="219" w:lineRule="auto"/>
        <w:ind w:left="120"/>
        <w:rPr>
          <w:rFonts w:ascii="宋体" w:hAnsi="宋体" w:eastAsia="宋体" w:cs="宋体"/>
          <w:sz w:val="24"/>
          <w:szCs w:val="24"/>
        </w:rPr>
      </w:pPr>
      <w:r>
        <w:rPr>
          <w:rFonts w:ascii="宋体" w:hAnsi="宋体" w:eastAsia="宋体" w:cs="宋体"/>
          <w:spacing w:val="13"/>
          <w:sz w:val="24"/>
          <w:szCs w:val="24"/>
        </w:rPr>
        <w:t>(5)农业种植养殖结构</w:t>
      </w:r>
    </w:p>
    <w:p w14:paraId="4799FB42">
      <w:pPr>
        <w:spacing w:before="165" w:line="219" w:lineRule="auto"/>
        <w:ind w:left="479"/>
        <w:rPr>
          <w:rFonts w:ascii="宋体" w:hAnsi="宋体" w:eastAsia="宋体" w:cs="宋体"/>
          <w:sz w:val="25"/>
          <w:szCs w:val="25"/>
        </w:rPr>
      </w:pPr>
      <w:r>
        <w:rPr>
          <w:rFonts w:ascii="宋体" w:hAnsi="宋体" w:eastAsia="宋体" w:cs="宋体"/>
          <w:spacing w:val="-2"/>
          <w:sz w:val="25"/>
          <w:szCs w:val="25"/>
        </w:rPr>
        <w:t>2016年，石拐区农林牧渔业总产值1.41</w:t>
      </w:r>
      <w:r>
        <w:rPr>
          <w:rFonts w:ascii="宋体" w:hAnsi="宋体" w:eastAsia="宋体" w:cs="宋体"/>
          <w:spacing w:val="-32"/>
          <w:sz w:val="25"/>
          <w:szCs w:val="25"/>
        </w:rPr>
        <w:t xml:space="preserve"> </w:t>
      </w:r>
      <w:r>
        <w:rPr>
          <w:rFonts w:ascii="宋体" w:hAnsi="宋体" w:eastAsia="宋体" w:cs="宋体"/>
          <w:spacing w:val="-2"/>
          <w:sz w:val="25"/>
          <w:szCs w:val="25"/>
        </w:rPr>
        <w:t>亿元，农</w:t>
      </w:r>
      <w:r>
        <w:rPr>
          <w:rFonts w:ascii="宋体" w:hAnsi="宋体" w:eastAsia="宋体" w:cs="宋体"/>
          <w:spacing w:val="-3"/>
          <w:sz w:val="25"/>
          <w:szCs w:val="25"/>
        </w:rPr>
        <w:t>作物总播种面积2937 公</w:t>
      </w:r>
    </w:p>
    <w:p w14:paraId="3F29D646">
      <w:pPr>
        <w:spacing w:before="171" w:line="219" w:lineRule="auto"/>
        <w:rPr>
          <w:rFonts w:ascii="宋体" w:hAnsi="宋体" w:eastAsia="宋体" w:cs="宋体"/>
          <w:sz w:val="25"/>
          <w:szCs w:val="25"/>
        </w:rPr>
      </w:pPr>
      <w:r>
        <w:rPr>
          <w:rFonts w:ascii="宋体" w:hAnsi="宋体" w:eastAsia="宋体" w:cs="宋体"/>
          <w:color w:val="607070"/>
          <w:spacing w:val="-2"/>
          <w:sz w:val="25"/>
          <w:szCs w:val="25"/>
        </w:rPr>
        <w:t>顷，粮食作物播种面积2605 公顷。粮食产量6090</w:t>
      </w:r>
      <w:r>
        <w:rPr>
          <w:rFonts w:ascii="Times New Roman" w:hAnsi="Times New Roman" w:eastAsia="Times New Roman" w:cs="Times New Roman"/>
          <w:color w:val="607070"/>
          <w:spacing w:val="-3"/>
          <w:sz w:val="25"/>
          <w:szCs w:val="25"/>
        </w:rPr>
        <w:t>t</w:t>
      </w:r>
      <w:r>
        <w:rPr>
          <w:rFonts w:ascii="Times New Roman" w:hAnsi="Times New Roman" w:eastAsia="Times New Roman" w:cs="Times New Roman"/>
          <w:color w:val="607070"/>
          <w:spacing w:val="-36"/>
          <w:sz w:val="25"/>
          <w:szCs w:val="25"/>
        </w:rPr>
        <w:t xml:space="preserve"> </w:t>
      </w:r>
      <w:r>
        <w:rPr>
          <w:rFonts w:ascii="宋体" w:hAnsi="宋体" w:eastAsia="宋体" w:cs="宋体"/>
          <w:color w:val="607070"/>
          <w:spacing w:val="-3"/>
          <w:sz w:val="25"/>
          <w:szCs w:val="25"/>
        </w:rPr>
        <w:t>、油料产量95</w:t>
      </w:r>
      <w:r>
        <w:rPr>
          <w:rFonts w:ascii="Times New Roman" w:hAnsi="Times New Roman" w:eastAsia="Times New Roman" w:cs="Times New Roman"/>
          <w:color w:val="607070"/>
          <w:spacing w:val="-3"/>
          <w:sz w:val="25"/>
          <w:szCs w:val="25"/>
        </w:rPr>
        <w:t>t</w:t>
      </w:r>
      <w:r>
        <w:rPr>
          <w:rFonts w:ascii="Times New Roman" w:hAnsi="Times New Roman" w:eastAsia="Times New Roman" w:cs="Times New Roman"/>
          <w:color w:val="607070"/>
          <w:spacing w:val="-29"/>
          <w:sz w:val="25"/>
          <w:szCs w:val="25"/>
        </w:rPr>
        <w:t xml:space="preserve"> </w:t>
      </w:r>
      <w:r>
        <w:rPr>
          <w:rFonts w:ascii="宋体" w:hAnsi="宋体" w:eastAsia="宋体" w:cs="宋体"/>
          <w:color w:val="607070"/>
          <w:spacing w:val="-3"/>
          <w:sz w:val="25"/>
          <w:szCs w:val="25"/>
        </w:rPr>
        <w:t>。</w:t>
      </w:r>
      <w:r>
        <w:rPr>
          <w:rFonts w:ascii="Times New Roman" w:hAnsi="Times New Roman" w:eastAsia="Times New Roman" w:cs="Times New Roman"/>
          <w:color w:val="607070"/>
          <w:spacing w:val="-3"/>
          <w:sz w:val="25"/>
          <w:szCs w:val="25"/>
        </w:rPr>
        <w:t xml:space="preserve">2016  </w:t>
      </w:r>
      <w:r>
        <w:rPr>
          <w:rFonts w:ascii="宋体" w:hAnsi="宋体" w:eastAsia="宋体" w:cs="宋体"/>
          <w:color w:val="607070"/>
          <w:spacing w:val="-3"/>
          <w:sz w:val="25"/>
          <w:szCs w:val="25"/>
        </w:rPr>
        <w:t>年末</w:t>
      </w:r>
    </w:p>
    <w:p w14:paraId="36A85243">
      <w:pPr>
        <w:spacing w:before="165" w:line="219" w:lineRule="auto"/>
        <w:rPr>
          <w:rFonts w:ascii="宋体" w:hAnsi="宋体" w:eastAsia="宋体" w:cs="宋体"/>
          <w:sz w:val="25"/>
          <w:szCs w:val="25"/>
        </w:rPr>
      </w:pPr>
      <w:r>
        <w:rPr>
          <w:rFonts w:ascii="宋体" w:hAnsi="宋体" w:eastAsia="宋体" w:cs="宋体"/>
          <w:spacing w:val="4"/>
          <w:sz w:val="25"/>
          <w:szCs w:val="25"/>
        </w:rPr>
        <w:t>牲畜存栏头数3.28万头只。</w:t>
      </w:r>
    </w:p>
    <w:p w14:paraId="4417529E">
      <w:pPr>
        <w:spacing w:before="203" w:line="219" w:lineRule="auto"/>
        <w:ind w:left="120"/>
        <w:rPr>
          <w:rFonts w:ascii="宋体" w:hAnsi="宋体" w:eastAsia="宋体" w:cs="宋体"/>
          <w:sz w:val="24"/>
          <w:szCs w:val="24"/>
        </w:rPr>
      </w:pPr>
      <w:r>
        <w:rPr>
          <w:rFonts w:ascii="宋体" w:hAnsi="宋体" w:eastAsia="宋体" w:cs="宋体"/>
          <w:spacing w:val="15"/>
          <w:sz w:val="24"/>
          <w:szCs w:val="24"/>
        </w:rPr>
        <w:t>(6)道路交通状况</w:t>
      </w:r>
    </w:p>
    <w:p w14:paraId="722A7756">
      <w:pPr>
        <w:spacing w:before="203" w:line="348" w:lineRule="auto"/>
        <w:ind w:right="155" w:firstLine="479"/>
        <w:jc w:val="both"/>
        <w:rPr>
          <w:rFonts w:ascii="宋体" w:hAnsi="宋体" w:eastAsia="宋体" w:cs="宋体"/>
          <w:sz w:val="24"/>
          <w:szCs w:val="24"/>
        </w:rPr>
      </w:pPr>
      <w:r>
        <w:rPr>
          <w:rFonts w:ascii="宋体" w:hAnsi="宋体" w:eastAsia="宋体" w:cs="宋体"/>
          <w:spacing w:val="7"/>
          <w:sz w:val="24"/>
          <w:szCs w:val="24"/>
        </w:rPr>
        <w:t>石拐区交通便捷，石拐区紧邻110 国道、2</w:t>
      </w:r>
      <w:r>
        <w:rPr>
          <w:rFonts w:ascii="宋体" w:hAnsi="宋体" w:eastAsia="宋体" w:cs="宋体"/>
          <w:spacing w:val="6"/>
          <w:sz w:val="24"/>
          <w:szCs w:val="24"/>
        </w:rPr>
        <w:t>10国道和京藏高速公路，境内</w:t>
      </w:r>
      <w:r>
        <w:rPr>
          <w:rFonts w:ascii="宋体" w:hAnsi="宋体" w:eastAsia="宋体" w:cs="宋体"/>
          <w:sz w:val="24"/>
          <w:szCs w:val="24"/>
        </w:rPr>
        <w:t xml:space="preserve"> </w:t>
      </w:r>
      <w:r>
        <w:rPr>
          <w:rFonts w:ascii="宋体" w:hAnsi="宋体" w:eastAsia="宋体" w:cs="宋体"/>
          <w:spacing w:val="-2"/>
          <w:sz w:val="24"/>
          <w:szCs w:val="24"/>
        </w:rPr>
        <w:t>有包石公路贯通。从水源地周边来看，沿五当沟西岸建设了沙明线，是连接石拐</w:t>
      </w:r>
      <w:r>
        <w:rPr>
          <w:rFonts w:ascii="宋体" w:hAnsi="宋体" w:eastAsia="宋体" w:cs="宋体"/>
          <w:spacing w:val="16"/>
          <w:sz w:val="24"/>
          <w:szCs w:val="24"/>
        </w:rPr>
        <w:t xml:space="preserve"> </w:t>
      </w:r>
      <w:r>
        <w:rPr>
          <w:rFonts w:ascii="宋体" w:hAnsi="宋体" w:eastAsia="宋体" w:cs="宋体"/>
          <w:spacing w:val="-3"/>
          <w:sz w:val="24"/>
          <w:szCs w:val="24"/>
        </w:rPr>
        <w:t>至固阳的道路。</w:t>
      </w:r>
    </w:p>
    <w:p w14:paraId="12243C62">
      <w:pPr>
        <w:spacing w:before="3" w:line="219" w:lineRule="auto"/>
        <w:ind w:left="3"/>
        <w:outlineLvl w:val="2"/>
        <w:rPr>
          <w:rFonts w:ascii="宋体" w:hAnsi="宋体" w:eastAsia="宋体" w:cs="宋体"/>
          <w:sz w:val="26"/>
          <w:szCs w:val="26"/>
        </w:rPr>
      </w:pPr>
      <w:bookmarkStart w:id="24" w:name="bookmark20"/>
      <w:bookmarkEnd w:id="24"/>
      <w:r>
        <w:rPr>
          <w:rFonts w:ascii="宋体" w:hAnsi="宋体" w:eastAsia="宋体" w:cs="宋体"/>
          <w:b/>
          <w:bCs/>
          <w:spacing w:val="-15"/>
          <w:sz w:val="26"/>
          <w:szCs w:val="26"/>
        </w:rPr>
        <w:t>2.2.3饮用水水源地周边城乡土地使用状况</w:t>
      </w:r>
    </w:p>
    <w:p w14:paraId="3F191A31">
      <w:pPr>
        <w:spacing w:before="234" w:line="348" w:lineRule="auto"/>
        <w:ind w:right="53" w:firstLine="479"/>
        <w:rPr>
          <w:rFonts w:ascii="宋体" w:hAnsi="宋体" w:eastAsia="宋体" w:cs="宋体"/>
          <w:sz w:val="24"/>
          <w:szCs w:val="24"/>
        </w:rPr>
      </w:pPr>
      <w:r>
        <w:rPr>
          <w:rFonts w:ascii="宋体" w:hAnsi="宋体" w:eastAsia="宋体" w:cs="宋体"/>
          <w:spacing w:val="-2"/>
          <w:sz w:val="24"/>
          <w:szCs w:val="24"/>
        </w:rPr>
        <w:t>石拐水源地及周边土地利用类型有天然牧草地、林地、农田、河流滩涂、居</w:t>
      </w:r>
      <w:r>
        <w:rPr>
          <w:rFonts w:ascii="宋体" w:hAnsi="宋体" w:eastAsia="宋体" w:cs="宋体"/>
          <w:spacing w:val="4"/>
          <w:sz w:val="24"/>
          <w:szCs w:val="24"/>
        </w:rPr>
        <w:t xml:space="preserve">  </w:t>
      </w:r>
      <w:r>
        <w:rPr>
          <w:rFonts w:ascii="宋体" w:hAnsi="宋体" w:eastAsia="宋体" w:cs="宋体"/>
          <w:spacing w:val="-2"/>
          <w:sz w:val="24"/>
          <w:szCs w:val="24"/>
        </w:rPr>
        <w:t>住用地、工矿用地、灌木林地等，其中以天然牧草地为主，面积为5581.85公顷。</w:t>
      </w:r>
    </w:p>
    <w:p w14:paraId="033B3B7A">
      <w:pPr>
        <w:spacing w:line="348" w:lineRule="auto"/>
        <w:rPr>
          <w:rFonts w:ascii="宋体" w:hAnsi="宋体" w:eastAsia="宋体" w:cs="宋体"/>
          <w:sz w:val="24"/>
          <w:szCs w:val="24"/>
        </w:rPr>
        <w:sectPr>
          <w:footerReference r:id="rId13" w:type="default"/>
          <w:pgSz w:w="11910" w:h="16850"/>
          <w:pgMar w:top="1391" w:right="1786" w:bottom="1474" w:left="1619" w:header="0" w:footer="1339" w:gutter="0"/>
          <w:cols w:space="720" w:num="1"/>
        </w:sectPr>
      </w:pPr>
    </w:p>
    <w:p w14:paraId="07BCA9C1">
      <w:pPr>
        <w:spacing w:before="247" w:line="220" w:lineRule="auto"/>
        <w:ind w:left="80"/>
        <w:outlineLvl w:val="0"/>
        <w:rPr>
          <w:rFonts w:ascii="宋体" w:hAnsi="宋体" w:eastAsia="宋体" w:cs="宋体"/>
          <w:sz w:val="31"/>
          <w:szCs w:val="31"/>
        </w:rPr>
      </w:pPr>
      <w:bookmarkStart w:id="25" w:name="bookmark21"/>
      <w:bookmarkEnd w:id="25"/>
      <w:r>
        <w:rPr>
          <w:rFonts w:ascii="Times New Roman" w:hAnsi="Times New Roman" w:eastAsia="Times New Roman" w:cs="Times New Roman"/>
          <w:b/>
          <w:bCs/>
          <w:color w:val="506060"/>
          <w:spacing w:val="-5"/>
          <w:sz w:val="31"/>
          <w:szCs w:val="31"/>
        </w:rPr>
        <w:t>3</w:t>
      </w:r>
      <w:r>
        <w:rPr>
          <w:rFonts w:ascii="Times New Roman" w:hAnsi="Times New Roman" w:eastAsia="Times New Roman" w:cs="Times New Roman"/>
          <w:b/>
          <w:bCs/>
          <w:color w:val="506060"/>
          <w:spacing w:val="59"/>
          <w:sz w:val="31"/>
          <w:szCs w:val="31"/>
        </w:rPr>
        <w:t xml:space="preserve"> </w:t>
      </w:r>
      <w:r>
        <w:rPr>
          <w:rFonts w:ascii="宋体" w:hAnsi="宋体" w:eastAsia="宋体" w:cs="宋体"/>
          <w:b/>
          <w:bCs/>
          <w:color w:val="506060"/>
          <w:spacing w:val="-5"/>
          <w:sz w:val="31"/>
          <w:szCs w:val="31"/>
        </w:rPr>
        <w:t>应急组织指挥体系</w:t>
      </w:r>
    </w:p>
    <w:p w14:paraId="53814627">
      <w:pPr>
        <w:spacing w:before="276" w:line="219" w:lineRule="auto"/>
        <w:ind w:left="80"/>
        <w:outlineLvl w:val="1"/>
        <w:rPr>
          <w:rFonts w:ascii="宋体" w:hAnsi="宋体" w:eastAsia="宋体" w:cs="宋体"/>
          <w:sz w:val="28"/>
          <w:szCs w:val="28"/>
        </w:rPr>
      </w:pPr>
      <w:bookmarkStart w:id="26" w:name="bookmark22"/>
      <w:bookmarkEnd w:id="26"/>
      <w:r>
        <w:rPr>
          <w:rFonts w:ascii="宋体" w:hAnsi="宋体" w:eastAsia="宋体" w:cs="宋体"/>
          <w:color w:val="606070"/>
          <w:sz w:val="28"/>
          <w:szCs w:val="28"/>
        </w:rPr>
        <w:t>3.1</w:t>
      </w:r>
      <w:r>
        <w:rPr>
          <w:rFonts w:ascii="宋体" w:hAnsi="宋体" w:eastAsia="宋体" w:cs="宋体"/>
          <w:b/>
          <w:bCs/>
          <w:color w:val="606070"/>
          <w:sz w:val="28"/>
          <w:szCs w:val="28"/>
        </w:rPr>
        <w:t>应急组织指挥机构构成</w:t>
      </w:r>
    </w:p>
    <w:p w14:paraId="2990F2B0">
      <w:pPr>
        <w:spacing w:before="230" w:line="349" w:lineRule="auto"/>
        <w:ind w:left="80" w:right="246" w:firstLine="489"/>
        <w:rPr>
          <w:rFonts w:ascii="宋体" w:hAnsi="宋体" w:eastAsia="宋体" w:cs="宋体"/>
          <w:sz w:val="24"/>
          <w:szCs w:val="24"/>
        </w:rPr>
      </w:pPr>
      <w:r>
        <w:rPr>
          <w:rFonts w:ascii="宋体" w:hAnsi="宋体" w:eastAsia="宋体" w:cs="宋体"/>
          <w:color w:val="506060"/>
          <w:sz w:val="24"/>
          <w:szCs w:val="24"/>
        </w:rPr>
        <w:t>包头市石拐区集中式饮用水水源地突发环境事件应急组织指挥体系由应急</w:t>
      </w:r>
      <w:r>
        <w:rPr>
          <w:rFonts w:ascii="宋体" w:hAnsi="宋体" w:eastAsia="宋体" w:cs="宋体"/>
          <w:color w:val="506060"/>
          <w:spacing w:val="15"/>
          <w:sz w:val="24"/>
          <w:szCs w:val="24"/>
        </w:rPr>
        <w:t xml:space="preserve"> </w:t>
      </w:r>
      <w:r>
        <w:rPr>
          <w:rFonts w:ascii="宋体" w:hAnsi="宋体" w:eastAsia="宋体" w:cs="宋体"/>
          <w:color w:val="506060"/>
          <w:spacing w:val="-1"/>
          <w:sz w:val="24"/>
          <w:szCs w:val="24"/>
        </w:rPr>
        <w:t>组织指挥机构、现场应急指挥部和现场应急工作组组成。</w:t>
      </w:r>
    </w:p>
    <w:p w14:paraId="517F754A">
      <w:pPr>
        <w:spacing w:line="218" w:lineRule="auto"/>
        <w:ind w:left="80"/>
        <w:outlineLvl w:val="2"/>
        <w:rPr>
          <w:rFonts w:ascii="宋体" w:hAnsi="宋体" w:eastAsia="宋体" w:cs="宋体"/>
          <w:sz w:val="26"/>
          <w:szCs w:val="26"/>
        </w:rPr>
      </w:pPr>
      <w:bookmarkStart w:id="27" w:name="bookmark23"/>
      <w:bookmarkEnd w:id="27"/>
      <w:r>
        <w:rPr>
          <w:rFonts w:ascii="宋体" w:hAnsi="宋体" w:eastAsia="宋体" w:cs="宋体"/>
          <w:color w:val="506060"/>
          <w:spacing w:val="-23"/>
          <w:sz w:val="26"/>
          <w:szCs w:val="26"/>
        </w:rPr>
        <w:t>3.1.</w:t>
      </w:r>
      <w:r>
        <w:rPr>
          <w:rFonts w:ascii="宋体" w:hAnsi="宋体" w:eastAsia="宋体" w:cs="宋体"/>
          <w:b/>
          <w:bCs/>
          <w:color w:val="506060"/>
          <w:spacing w:val="-23"/>
          <w:sz w:val="26"/>
          <w:szCs w:val="26"/>
        </w:rPr>
        <w:t>1应急组织指挥机构</w:t>
      </w:r>
    </w:p>
    <w:p w14:paraId="6B3C5C24">
      <w:pPr>
        <w:spacing w:before="184" w:line="335" w:lineRule="auto"/>
        <w:ind w:left="80" w:right="122" w:firstLine="489"/>
        <w:rPr>
          <w:rFonts w:ascii="宋体" w:hAnsi="宋体" w:eastAsia="宋体" w:cs="宋体"/>
          <w:sz w:val="24"/>
          <w:szCs w:val="24"/>
        </w:rPr>
      </w:pPr>
      <w:r>
        <w:rPr>
          <w:rFonts w:ascii="宋体" w:hAnsi="宋体" w:eastAsia="宋体" w:cs="宋体"/>
          <w:color w:val="506060"/>
          <w:spacing w:val="1"/>
          <w:sz w:val="24"/>
          <w:szCs w:val="24"/>
        </w:rPr>
        <w:t>包头市石拐区集中式饮用水水源地突发环境事件应急指挥机构总指挥由石</w:t>
      </w:r>
      <w:r>
        <w:rPr>
          <w:rFonts w:ascii="宋体" w:hAnsi="宋体" w:eastAsia="宋体" w:cs="宋体"/>
          <w:color w:val="506060"/>
          <w:sz w:val="24"/>
          <w:szCs w:val="24"/>
        </w:rPr>
        <w:t xml:space="preserve">  </w:t>
      </w:r>
      <w:r>
        <w:rPr>
          <w:rFonts w:ascii="宋体" w:hAnsi="宋体" w:eastAsia="宋体" w:cs="宋体"/>
          <w:color w:val="506060"/>
          <w:spacing w:val="-3"/>
          <w:sz w:val="24"/>
          <w:szCs w:val="24"/>
        </w:rPr>
        <w:t>拐区负责联系环保的副区长担任，副总指挥由石拐区政府办公室主任、包头市生</w:t>
      </w:r>
      <w:r>
        <w:rPr>
          <w:rFonts w:ascii="宋体" w:hAnsi="宋体" w:eastAsia="宋体" w:cs="宋体"/>
          <w:color w:val="506060"/>
          <w:spacing w:val="15"/>
          <w:sz w:val="24"/>
          <w:szCs w:val="24"/>
        </w:rPr>
        <w:t xml:space="preserve"> </w:t>
      </w:r>
      <w:r>
        <w:rPr>
          <w:rFonts w:ascii="宋体" w:hAnsi="宋体" w:eastAsia="宋体" w:cs="宋体"/>
          <w:color w:val="506060"/>
          <w:spacing w:val="-3"/>
          <w:sz w:val="24"/>
          <w:szCs w:val="24"/>
        </w:rPr>
        <w:t>态环境局石拐区分局局长、区住建局局长担任</w:t>
      </w:r>
      <w:r>
        <w:rPr>
          <w:rFonts w:ascii="宋体" w:hAnsi="宋体" w:eastAsia="宋体" w:cs="宋体"/>
          <w:color w:val="506060"/>
          <w:spacing w:val="-3"/>
          <w:sz w:val="24"/>
          <w:szCs w:val="24"/>
          <w:u w:val="single" w:color="0000FF"/>
        </w:rPr>
        <w:t>，协调办公室设在石拐区应急管理</w:t>
      </w:r>
      <w:r>
        <w:rPr>
          <w:rFonts w:ascii="宋体" w:hAnsi="宋体" w:eastAsia="宋体" w:cs="宋体"/>
          <w:color w:val="506060"/>
          <w:spacing w:val="3"/>
          <w:sz w:val="24"/>
          <w:szCs w:val="24"/>
        </w:rPr>
        <w:t xml:space="preserve"> </w:t>
      </w:r>
      <w:r>
        <w:rPr>
          <w:rFonts w:ascii="宋体" w:hAnsi="宋体" w:eastAsia="宋体" w:cs="宋体"/>
          <w:color w:val="506060"/>
          <w:spacing w:val="-7"/>
          <w:sz w:val="24"/>
          <w:szCs w:val="24"/>
        </w:rPr>
        <w:t>局。</w:t>
      </w:r>
    </w:p>
    <w:p w14:paraId="481EAA00">
      <w:pPr>
        <w:spacing w:before="1" w:line="163" w:lineRule="auto"/>
        <w:rPr>
          <w:rFonts w:ascii="宋体" w:hAnsi="宋体" w:eastAsia="宋体" w:cs="宋体"/>
          <w:sz w:val="18"/>
          <w:szCs w:val="18"/>
        </w:rPr>
      </w:pPr>
      <w:r>
        <w:rPr>
          <w:rFonts w:ascii="宋体" w:hAnsi="宋体" w:eastAsia="宋体" w:cs="宋体"/>
          <w:sz w:val="18"/>
          <w:szCs w:val="18"/>
        </w:rPr>
        <w:t>(</w:t>
      </w:r>
    </w:p>
    <w:p w14:paraId="55E7139A">
      <w:pPr>
        <w:spacing w:before="1" w:line="202" w:lineRule="auto"/>
        <w:ind w:left="709"/>
        <w:rPr>
          <w:rFonts w:ascii="宋体" w:hAnsi="宋体" w:eastAsia="宋体" w:cs="宋体"/>
          <w:sz w:val="24"/>
          <w:szCs w:val="24"/>
        </w:rPr>
      </w:pPr>
      <w:r>
        <w:rPr>
          <w:rFonts w:ascii="宋体" w:hAnsi="宋体" w:eastAsia="宋体" w:cs="宋体"/>
          <w:color w:val="506060"/>
          <w:sz w:val="24"/>
          <w:szCs w:val="24"/>
        </w:rPr>
        <w:t>包头市石拐区集中式饮用水水源地突发环境事件应急指挥机构专项工作</w:t>
      </w:r>
    </w:p>
    <w:p w14:paraId="607BDFAF">
      <w:pPr>
        <w:spacing w:before="189" w:line="354" w:lineRule="auto"/>
        <w:ind w:left="80" w:right="43"/>
        <w:rPr>
          <w:rFonts w:ascii="宋体" w:hAnsi="宋体" w:eastAsia="宋体" w:cs="宋体"/>
          <w:sz w:val="24"/>
          <w:szCs w:val="24"/>
        </w:rPr>
      </w:pPr>
      <w:r>
        <w:rPr>
          <w:rFonts w:ascii="宋体" w:hAnsi="宋体" w:eastAsia="宋体" w:cs="宋体"/>
          <w:color w:val="506060"/>
          <w:spacing w:val="-3"/>
          <w:sz w:val="24"/>
          <w:szCs w:val="24"/>
        </w:rPr>
        <w:t>组成员单位由包头市生态环境局石拐区分局、石拐区委宣传部、石拐区政府办公</w:t>
      </w:r>
      <w:r>
        <w:rPr>
          <w:rFonts w:ascii="宋体" w:hAnsi="宋体" w:eastAsia="宋体" w:cs="宋体"/>
          <w:color w:val="506060"/>
          <w:spacing w:val="18"/>
          <w:sz w:val="24"/>
          <w:szCs w:val="24"/>
        </w:rPr>
        <w:t xml:space="preserve"> </w:t>
      </w:r>
      <w:r>
        <w:rPr>
          <w:rFonts w:ascii="宋体" w:hAnsi="宋体" w:eastAsia="宋体" w:cs="宋体"/>
          <w:color w:val="506060"/>
          <w:sz w:val="24"/>
          <w:szCs w:val="24"/>
        </w:rPr>
        <w:t>室、石拐区公安分局、石拐区卫健委、石拐区发展改革</w:t>
      </w:r>
      <w:r>
        <w:rPr>
          <w:rFonts w:ascii="宋体" w:hAnsi="宋体" w:eastAsia="宋体" w:cs="宋体"/>
          <w:color w:val="506060"/>
          <w:spacing w:val="-1"/>
          <w:sz w:val="24"/>
          <w:szCs w:val="24"/>
        </w:rPr>
        <w:t>委员会、石拐区司法局、</w:t>
      </w:r>
      <w:r>
        <w:rPr>
          <w:rFonts w:ascii="宋体" w:hAnsi="宋体" w:eastAsia="宋体" w:cs="宋体"/>
          <w:color w:val="506060"/>
          <w:sz w:val="24"/>
          <w:szCs w:val="24"/>
        </w:rPr>
        <w:t xml:space="preserve"> </w:t>
      </w:r>
      <w:r>
        <w:rPr>
          <w:rFonts w:ascii="宋体" w:hAnsi="宋体" w:eastAsia="宋体" w:cs="宋体"/>
          <w:color w:val="506060"/>
          <w:spacing w:val="-2"/>
          <w:sz w:val="24"/>
          <w:szCs w:val="24"/>
        </w:rPr>
        <w:t>石拐区财政局、石拐区住房和城乡建设局、石拐</w:t>
      </w:r>
      <w:r>
        <w:rPr>
          <w:rFonts w:ascii="宋体" w:hAnsi="宋体" w:eastAsia="宋体" w:cs="宋体"/>
          <w:color w:val="506060"/>
          <w:spacing w:val="-3"/>
          <w:sz w:val="24"/>
          <w:szCs w:val="24"/>
        </w:rPr>
        <w:t>区农牧局、石拐区民政局、石拐</w:t>
      </w:r>
      <w:r>
        <w:rPr>
          <w:rFonts w:ascii="宋体" w:hAnsi="宋体" w:eastAsia="宋体" w:cs="宋体"/>
          <w:color w:val="506060"/>
          <w:sz w:val="24"/>
          <w:szCs w:val="24"/>
        </w:rPr>
        <w:t xml:space="preserve"> </w:t>
      </w:r>
      <w:r>
        <w:rPr>
          <w:rFonts w:ascii="宋体" w:hAnsi="宋体" w:eastAsia="宋体" w:cs="宋体"/>
          <w:color w:val="506060"/>
          <w:spacing w:val="-1"/>
          <w:sz w:val="24"/>
          <w:szCs w:val="24"/>
        </w:rPr>
        <w:t>区文体广电旅游局、石拐区应急管理局、石拐区消防大队、石拐区自然资源局、</w:t>
      </w:r>
      <w:r>
        <w:rPr>
          <w:rFonts w:ascii="宋体" w:hAnsi="宋体" w:eastAsia="宋体" w:cs="宋体"/>
          <w:color w:val="506060"/>
          <w:spacing w:val="4"/>
          <w:sz w:val="24"/>
          <w:szCs w:val="24"/>
        </w:rPr>
        <w:t xml:space="preserve"> </w:t>
      </w:r>
      <w:r>
        <w:rPr>
          <w:rFonts w:ascii="宋体" w:hAnsi="宋体" w:eastAsia="宋体" w:cs="宋体"/>
          <w:color w:val="506060"/>
          <w:spacing w:val="-2"/>
          <w:sz w:val="24"/>
          <w:szCs w:val="24"/>
        </w:rPr>
        <w:t>包头供电局石拐分局、石拐区市场监督管理局、中国联合网络通信股份有限公司</w:t>
      </w:r>
      <w:r>
        <w:rPr>
          <w:rFonts w:ascii="宋体" w:hAnsi="宋体" w:eastAsia="宋体" w:cs="宋体"/>
          <w:color w:val="506060"/>
          <w:spacing w:val="1"/>
          <w:sz w:val="24"/>
          <w:szCs w:val="24"/>
        </w:rPr>
        <w:t xml:space="preserve"> </w:t>
      </w:r>
      <w:r>
        <w:rPr>
          <w:rFonts w:ascii="宋体" w:hAnsi="宋体" w:eastAsia="宋体" w:cs="宋体"/>
          <w:color w:val="506060"/>
          <w:spacing w:val="-2"/>
          <w:sz w:val="24"/>
          <w:szCs w:val="24"/>
        </w:rPr>
        <w:t>石拐分公司、中国移动通信集团内蒙古有限公司石拐分</w:t>
      </w:r>
      <w:r>
        <w:rPr>
          <w:rFonts w:ascii="宋体" w:hAnsi="宋体" w:eastAsia="宋体" w:cs="宋体"/>
          <w:color w:val="506060"/>
          <w:spacing w:val="-3"/>
          <w:sz w:val="24"/>
          <w:szCs w:val="24"/>
        </w:rPr>
        <w:t>公司等单位组成，石拐区</w:t>
      </w:r>
      <w:r>
        <w:rPr>
          <w:rFonts w:ascii="宋体" w:hAnsi="宋体" w:eastAsia="宋体" w:cs="宋体"/>
          <w:color w:val="506060"/>
          <w:sz w:val="24"/>
          <w:szCs w:val="24"/>
        </w:rPr>
        <w:t xml:space="preserve"> </w:t>
      </w:r>
      <w:r>
        <w:rPr>
          <w:rFonts w:ascii="宋体" w:hAnsi="宋体" w:eastAsia="宋体" w:cs="宋体"/>
          <w:color w:val="506060"/>
          <w:spacing w:val="2"/>
          <w:sz w:val="24"/>
          <w:szCs w:val="24"/>
        </w:rPr>
        <w:t>指挥部成员具体组成见附件3。</w:t>
      </w:r>
    </w:p>
    <w:p w14:paraId="5CF8CCD4">
      <w:pPr>
        <w:spacing w:before="45" w:line="219" w:lineRule="auto"/>
        <w:ind w:left="709"/>
        <w:rPr>
          <w:rFonts w:ascii="宋体" w:hAnsi="宋体" w:eastAsia="宋体" w:cs="宋体"/>
          <w:sz w:val="24"/>
          <w:szCs w:val="24"/>
        </w:rPr>
      </w:pPr>
      <w:r>
        <w:rPr>
          <w:rFonts w:ascii="宋体" w:hAnsi="宋体" w:eastAsia="宋体" w:cs="宋体"/>
          <w:color w:val="506060"/>
          <w:spacing w:val="-1"/>
          <w:sz w:val="24"/>
          <w:szCs w:val="24"/>
        </w:rPr>
        <w:t>包头市石拐区集中式饮用水水源地突发环境事件应急指</w:t>
      </w:r>
      <w:r>
        <w:rPr>
          <w:rFonts w:ascii="宋体" w:hAnsi="宋体" w:eastAsia="宋体" w:cs="宋体"/>
          <w:color w:val="506060"/>
          <w:spacing w:val="-2"/>
          <w:sz w:val="24"/>
          <w:szCs w:val="24"/>
        </w:rPr>
        <w:t>挥机构主要职责：</w:t>
      </w:r>
    </w:p>
    <w:p w14:paraId="2472F7F9">
      <w:pPr>
        <w:spacing w:before="185" w:line="287" w:lineRule="auto"/>
        <w:ind w:left="80" w:right="114" w:firstLine="629"/>
        <w:rPr>
          <w:rFonts w:ascii="宋体" w:hAnsi="宋体" w:eastAsia="宋体" w:cs="宋体"/>
          <w:sz w:val="24"/>
          <w:szCs w:val="24"/>
        </w:rPr>
      </w:pPr>
      <w:r>
        <w:rPr>
          <w:rFonts w:ascii="宋体" w:hAnsi="宋体" w:eastAsia="宋体" w:cs="宋体"/>
          <w:color w:val="506060"/>
          <w:spacing w:val="4"/>
          <w:sz w:val="24"/>
          <w:szCs w:val="24"/>
        </w:rPr>
        <w:t>(1)研究确定包头市石拐区集中式饮用水水源地突发环境事件</w:t>
      </w:r>
      <w:r>
        <w:rPr>
          <w:rFonts w:ascii="宋体" w:hAnsi="宋体" w:eastAsia="宋体" w:cs="宋体"/>
          <w:color w:val="506060"/>
          <w:spacing w:val="3"/>
          <w:sz w:val="24"/>
          <w:szCs w:val="24"/>
        </w:rPr>
        <w:t>应急处置的</w:t>
      </w:r>
      <w:r>
        <w:rPr>
          <w:rFonts w:ascii="宋体" w:hAnsi="宋体" w:eastAsia="宋体" w:cs="宋体"/>
          <w:color w:val="506060"/>
          <w:sz w:val="24"/>
          <w:szCs w:val="24"/>
        </w:rPr>
        <w:t xml:space="preserve"> </w:t>
      </w:r>
      <w:r>
        <w:rPr>
          <w:rFonts w:ascii="宋体" w:hAnsi="宋体" w:eastAsia="宋体" w:cs="宋体"/>
          <w:color w:val="506060"/>
          <w:spacing w:val="-2"/>
          <w:sz w:val="24"/>
          <w:szCs w:val="24"/>
        </w:rPr>
        <w:t>重大决策和指导意见。</w:t>
      </w:r>
    </w:p>
    <w:p w14:paraId="165C7356">
      <w:pPr>
        <w:spacing w:before="196" w:line="314" w:lineRule="auto"/>
        <w:ind w:left="80" w:right="113" w:firstLine="629"/>
        <w:rPr>
          <w:rFonts w:ascii="宋体" w:hAnsi="宋体" w:eastAsia="宋体" w:cs="宋体"/>
          <w:sz w:val="24"/>
          <w:szCs w:val="24"/>
        </w:rPr>
      </w:pPr>
      <w:r>
        <w:rPr>
          <w:rFonts w:ascii="宋体" w:hAnsi="宋体" w:eastAsia="宋体" w:cs="宋体"/>
          <w:color w:val="506060"/>
          <w:spacing w:val="4"/>
          <w:sz w:val="24"/>
          <w:szCs w:val="24"/>
        </w:rPr>
        <w:t>(2)在上级突发环境事件应急指挥机构指导或</w:t>
      </w:r>
      <w:r>
        <w:rPr>
          <w:rFonts w:ascii="宋体" w:hAnsi="宋体" w:eastAsia="宋体" w:cs="宋体"/>
          <w:color w:val="506060"/>
          <w:spacing w:val="3"/>
          <w:sz w:val="24"/>
          <w:szCs w:val="24"/>
        </w:rPr>
        <w:t>指挥下，做好特别重大、重</w:t>
      </w:r>
      <w:r>
        <w:rPr>
          <w:rFonts w:ascii="宋体" w:hAnsi="宋体" w:eastAsia="宋体" w:cs="宋体"/>
          <w:color w:val="506060"/>
          <w:sz w:val="24"/>
          <w:szCs w:val="24"/>
        </w:rPr>
        <w:t xml:space="preserve"> </w:t>
      </w:r>
      <w:r>
        <w:rPr>
          <w:rFonts w:ascii="宋体" w:hAnsi="宋体" w:eastAsia="宋体" w:cs="宋体"/>
          <w:color w:val="506060"/>
          <w:spacing w:val="-2"/>
          <w:sz w:val="24"/>
          <w:szCs w:val="24"/>
        </w:rPr>
        <w:t>大、较大突发环境事件的先期处置工作和现场应急救</w:t>
      </w:r>
      <w:r>
        <w:rPr>
          <w:rFonts w:ascii="宋体" w:hAnsi="宋体" w:eastAsia="宋体" w:cs="宋体"/>
          <w:color w:val="506060"/>
          <w:spacing w:val="-3"/>
          <w:sz w:val="24"/>
          <w:szCs w:val="24"/>
        </w:rPr>
        <w:t>援工作；领导、组织、协调</w:t>
      </w:r>
      <w:r>
        <w:rPr>
          <w:rFonts w:ascii="宋体" w:hAnsi="宋体" w:eastAsia="宋体" w:cs="宋体"/>
          <w:color w:val="506060"/>
          <w:sz w:val="24"/>
          <w:szCs w:val="24"/>
        </w:rPr>
        <w:t xml:space="preserve"> </w:t>
      </w:r>
      <w:r>
        <w:rPr>
          <w:rFonts w:ascii="宋体" w:hAnsi="宋体" w:eastAsia="宋体" w:cs="宋体"/>
          <w:color w:val="506060"/>
          <w:spacing w:val="-3"/>
          <w:sz w:val="24"/>
          <w:szCs w:val="24"/>
        </w:rPr>
        <w:t>一般突发环境事件调查和应急处置工作。</w:t>
      </w:r>
    </w:p>
    <w:p w14:paraId="3696C8CE">
      <w:pPr>
        <w:spacing w:before="175" w:line="219" w:lineRule="auto"/>
        <w:ind w:left="709"/>
        <w:rPr>
          <w:rFonts w:ascii="宋体" w:hAnsi="宋体" w:eastAsia="宋体" w:cs="宋体"/>
          <w:sz w:val="24"/>
          <w:szCs w:val="24"/>
        </w:rPr>
      </w:pPr>
      <w:r>
        <w:rPr>
          <w:rFonts w:ascii="宋体" w:hAnsi="宋体" w:eastAsia="宋体" w:cs="宋体"/>
          <w:color w:val="506060"/>
          <w:spacing w:val="-2"/>
          <w:sz w:val="24"/>
          <w:szCs w:val="24"/>
        </w:rPr>
        <w:t>(3)</w:t>
      </w:r>
      <w:r>
        <w:rPr>
          <w:rFonts w:ascii="宋体" w:hAnsi="宋体" w:eastAsia="宋体" w:cs="宋体"/>
          <w:color w:val="506060"/>
          <w:spacing w:val="41"/>
          <w:sz w:val="24"/>
          <w:szCs w:val="24"/>
        </w:rPr>
        <w:t xml:space="preserve"> </w:t>
      </w:r>
      <w:r>
        <w:rPr>
          <w:rFonts w:ascii="宋体" w:hAnsi="宋体" w:eastAsia="宋体" w:cs="宋体"/>
          <w:color w:val="506060"/>
          <w:spacing w:val="-2"/>
          <w:sz w:val="24"/>
          <w:szCs w:val="24"/>
        </w:rPr>
        <w:t>审议批准石拐区指挥部办公室提请审议的重要事宜。</w:t>
      </w:r>
    </w:p>
    <w:p w14:paraId="081927F3">
      <w:pPr>
        <w:spacing w:before="183" w:line="291" w:lineRule="auto"/>
        <w:ind w:left="80" w:right="116" w:firstLine="629"/>
        <w:rPr>
          <w:rFonts w:ascii="宋体" w:hAnsi="宋体" w:eastAsia="宋体" w:cs="宋体"/>
          <w:sz w:val="24"/>
          <w:szCs w:val="24"/>
        </w:rPr>
      </w:pPr>
      <w:r>
        <w:rPr>
          <w:rFonts w:ascii="宋体" w:hAnsi="宋体" w:eastAsia="宋体" w:cs="宋体"/>
          <w:color w:val="506060"/>
          <w:spacing w:val="4"/>
          <w:sz w:val="24"/>
          <w:szCs w:val="24"/>
        </w:rPr>
        <w:t>(4)向石拐区政府及市有关部门报告包头市石拐区集中式</w:t>
      </w:r>
      <w:r>
        <w:rPr>
          <w:rFonts w:ascii="宋体" w:hAnsi="宋体" w:eastAsia="宋体" w:cs="宋体"/>
          <w:color w:val="506060"/>
          <w:spacing w:val="3"/>
          <w:sz w:val="24"/>
          <w:szCs w:val="24"/>
        </w:rPr>
        <w:t>饮用水水源地突</w:t>
      </w:r>
      <w:r>
        <w:rPr>
          <w:rFonts w:ascii="宋体" w:hAnsi="宋体" w:eastAsia="宋体" w:cs="宋体"/>
          <w:color w:val="506060"/>
          <w:sz w:val="24"/>
          <w:szCs w:val="24"/>
        </w:rPr>
        <w:t xml:space="preserve"> </w:t>
      </w:r>
      <w:r>
        <w:rPr>
          <w:rFonts w:ascii="宋体" w:hAnsi="宋体" w:eastAsia="宋体" w:cs="宋体"/>
          <w:color w:val="506060"/>
          <w:spacing w:val="-1"/>
          <w:sz w:val="24"/>
          <w:szCs w:val="24"/>
        </w:rPr>
        <w:t>发环境事件应急处置工作情况。</w:t>
      </w:r>
    </w:p>
    <w:p w14:paraId="70721E87">
      <w:pPr>
        <w:spacing w:before="184" w:line="219" w:lineRule="auto"/>
        <w:ind w:left="709"/>
        <w:rPr>
          <w:rFonts w:ascii="宋体" w:hAnsi="宋体" w:eastAsia="宋体" w:cs="宋体"/>
          <w:sz w:val="24"/>
          <w:szCs w:val="24"/>
        </w:rPr>
      </w:pPr>
      <w:r>
        <w:rPr>
          <w:rFonts w:ascii="宋体" w:hAnsi="宋体" w:eastAsia="宋体" w:cs="宋体"/>
          <w:color w:val="506060"/>
          <w:spacing w:val="4"/>
          <w:sz w:val="24"/>
          <w:szCs w:val="24"/>
        </w:rPr>
        <w:t>(5)负责水源地突发环境事件有关信息的发布。</w:t>
      </w:r>
    </w:p>
    <w:p w14:paraId="78F7C071">
      <w:pPr>
        <w:spacing w:before="176" w:line="356" w:lineRule="auto"/>
        <w:ind w:left="80" w:right="120" w:firstLine="489"/>
        <w:rPr>
          <w:rFonts w:ascii="宋体" w:hAnsi="宋体" w:eastAsia="宋体" w:cs="宋体"/>
          <w:sz w:val="24"/>
          <w:szCs w:val="24"/>
        </w:rPr>
      </w:pPr>
      <w:r>
        <w:rPr>
          <w:rFonts w:ascii="宋体" w:hAnsi="宋体" w:eastAsia="宋体" w:cs="宋体"/>
          <w:color w:val="506060"/>
          <w:spacing w:val="-3"/>
          <w:sz w:val="24"/>
          <w:szCs w:val="24"/>
        </w:rPr>
        <w:t>包头市石拐区集中式饮用水水源地突发环境事件应急组织指挥机构构成、主</w:t>
      </w:r>
      <w:r>
        <w:rPr>
          <w:rFonts w:ascii="宋体" w:hAnsi="宋体" w:eastAsia="宋体" w:cs="宋体"/>
          <w:color w:val="506060"/>
          <w:spacing w:val="1"/>
          <w:sz w:val="24"/>
          <w:szCs w:val="24"/>
        </w:rPr>
        <w:t xml:space="preserve"> </w:t>
      </w:r>
      <w:r>
        <w:rPr>
          <w:rFonts w:ascii="宋体" w:hAnsi="宋体" w:eastAsia="宋体" w:cs="宋体"/>
          <w:color w:val="506060"/>
          <w:spacing w:val="-1"/>
          <w:sz w:val="24"/>
          <w:szCs w:val="24"/>
        </w:rPr>
        <w:t>要负责人、联系电话、日常职责及应急职责见表3-1。</w:t>
      </w:r>
    </w:p>
    <w:p w14:paraId="67F03B3A">
      <w:pPr>
        <w:spacing w:line="356" w:lineRule="auto"/>
        <w:rPr>
          <w:rFonts w:ascii="宋体" w:hAnsi="宋体" w:eastAsia="宋体" w:cs="宋体"/>
          <w:sz w:val="24"/>
          <w:szCs w:val="24"/>
        </w:rPr>
        <w:sectPr>
          <w:footerReference r:id="rId14" w:type="default"/>
          <w:pgSz w:w="11910" w:h="16850"/>
          <w:pgMar w:top="1432" w:right="1786" w:bottom="1325" w:left="1609" w:header="0" w:footer="1163" w:gutter="0"/>
          <w:cols w:space="720" w:num="1"/>
        </w:sectPr>
      </w:pPr>
    </w:p>
    <w:p w14:paraId="1F6890C4">
      <w:pPr>
        <w:spacing w:line="328" w:lineRule="auto"/>
        <w:rPr>
          <w:rFonts w:ascii="Arial"/>
          <w:sz w:val="21"/>
        </w:rPr>
      </w:pPr>
    </w:p>
    <w:p w14:paraId="1098E868">
      <w:pPr>
        <w:spacing w:line="329" w:lineRule="auto"/>
        <w:rPr>
          <w:rFonts w:ascii="Arial"/>
          <w:sz w:val="21"/>
        </w:rPr>
      </w:pPr>
    </w:p>
    <w:p w14:paraId="38D92E9F">
      <w:pPr>
        <w:spacing w:before="81" w:line="219" w:lineRule="auto"/>
        <w:ind w:left="2848"/>
        <w:rPr>
          <w:rFonts w:ascii="宋体" w:hAnsi="宋体" w:eastAsia="宋体" w:cs="宋体"/>
          <w:sz w:val="25"/>
          <w:szCs w:val="25"/>
        </w:rPr>
      </w:pPr>
      <w:r>
        <w:rPr>
          <w:rFonts w:ascii="宋体" w:hAnsi="宋体" w:eastAsia="宋体" w:cs="宋体"/>
          <w:b/>
          <w:bCs/>
          <w:spacing w:val="-3"/>
          <w:sz w:val="25"/>
          <w:szCs w:val="25"/>
        </w:rPr>
        <w:t>表3-1包头市石拐区集中式饮用水水源地突发环境事件应急组织指挥机构设置和职责</w:t>
      </w:r>
    </w:p>
    <w:p w14:paraId="20491574">
      <w:pPr>
        <w:spacing w:line="63" w:lineRule="exact"/>
      </w:pPr>
    </w:p>
    <w:tbl>
      <w:tblPr>
        <w:tblStyle w:val="5"/>
        <w:tblW w:w="139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2408"/>
        <w:gridCol w:w="1369"/>
        <w:gridCol w:w="1329"/>
        <w:gridCol w:w="3688"/>
        <w:gridCol w:w="4172"/>
      </w:tblGrid>
      <w:tr w14:paraId="3A7AD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2" w:type="dxa"/>
            <w:gridSpan w:val="2"/>
            <w:vAlign w:val="top"/>
          </w:tcPr>
          <w:p w14:paraId="66757362">
            <w:pPr>
              <w:pStyle w:val="6"/>
              <w:spacing w:before="209" w:line="219" w:lineRule="auto"/>
              <w:ind w:left="637"/>
            </w:pPr>
            <w:r>
              <w:rPr>
                <w:b/>
                <w:bCs/>
                <w:color w:val="405050"/>
                <w:spacing w:val="-3"/>
              </w:rPr>
              <w:t>应急组织指挥机构组成</w:t>
            </w:r>
          </w:p>
        </w:tc>
        <w:tc>
          <w:tcPr>
            <w:tcW w:w="1369" w:type="dxa"/>
            <w:vAlign w:val="top"/>
          </w:tcPr>
          <w:p w14:paraId="6365A976">
            <w:pPr>
              <w:pStyle w:val="6"/>
              <w:spacing w:before="53" w:line="219" w:lineRule="auto"/>
              <w:ind w:left="153"/>
            </w:pPr>
            <w:r>
              <w:rPr>
                <w:color w:val="404040"/>
                <w:spacing w:val="-2"/>
              </w:rPr>
              <w:t>主要负责人</w:t>
            </w:r>
          </w:p>
          <w:p w14:paraId="3F632818">
            <w:pPr>
              <w:pStyle w:val="6"/>
              <w:spacing w:before="59" w:line="221" w:lineRule="auto"/>
              <w:ind w:left="156"/>
            </w:pPr>
            <w:r>
              <w:rPr>
                <w:b/>
                <w:bCs/>
                <w:color w:val="505050"/>
                <w:spacing w:val="-1"/>
              </w:rPr>
              <w:t>和联系</w:t>
            </w:r>
            <w:r>
              <w:rPr>
                <w:b/>
                <w:bCs/>
                <w:color w:val="404050"/>
                <w:spacing w:val="-1"/>
              </w:rPr>
              <w:t>电话</w:t>
            </w:r>
          </w:p>
        </w:tc>
        <w:tc>
          <w:tcPr>
            <w:tcW w:w="1329" w:type="dxa"/>
            <w:vAlign w:val="top"/>
          </w:tcPr>
          <w:p w14:paraId="3E9E7C93">
            <w:pPr>
              <w:pStyle w:val="6"/>
              <w:spacing w:before="214" w:line="220" w:lineRule="auto"/>
              <w:ind w:left="234"/>
            </w:pPr>
            <w:r>
              <w:rPr>
                <w:color w:val="304040"/>
                <w:spacing w:val="-9"/>
              </w:rPr>
              <w:t>日</w:t>
            </w:r>
            <w:r>
              <w:rPr>
                <w:color w:val="304040"/>
                <w:spacing w:val="-59"/>
              </w:rPr>
              <w:t xml:space="preserve"> </w:t>
            </w:r>
            <w:r>
              <w:rPr>
                <w:color w:val="606060"/>
                <w:spacing w:val="-9"/>
              </w:rPr>
              <w:t>常职</w:t>
            </w:r>
            <w:r>
              <w:rPr>
                <w:spacing w:val="-9"/>
              </w:rPr>
              <w:t>位</w:t>
            </w:r>
          </w:p>
        </w:tc>
        <w:tc>
          <w:tcPr>
            <w:tcW w:w="3688" w:type="dxa"/>
            <w:vAlign w:val="top"/>
          </w:tcPr>
          <w:p w14:paraId="5F07A267">
            <w:pPr>
              <w:pStyle w:val="6"/>
              <w:spacing w:before="211" w:line="220" w:lineRule="auto"/>
              <w:ind w:left="1457"/>
            </w:pPr>
            <w:r>
              <w:rPr>
                <w:b/>
                <w:bCs/>
                <w:color w:val="307050"/>
                <w:spacing w:val="-12"/>
              </w:rPr>
              <w:t>日</w:t>
            </w:r>
            <w:r>
              <w:rPr>
                <w:color w:val="307050"/>
                <w:spacing w:val="-59"/>
              </w:rPr>
              <w:t xml:space="preserve"> </w:t>
            </w:r>
            <w:r>
              <w:rPr>
                <w:b/>
                <w:bCs/>
                <w:color w:val="405050"/>
                <w:spacing w:val="-12"/>
              </w:rPr>
              <w:t>常职责</w:t>
            </w:r>
          </w:p>
        </w:tc>
        <w:tc>
          <w:tcPr>
            <w:tcW w:w="4172" w:type="dxa"/>
            <w:vAlign w:val="top"/>
          </w:tcPr>
          <w:p w14:paraId="2BF07AA8">
            <w:pPr>
              <w:pStyle w:val="6"/>
              <w:spacing w:before="211" w:line="221" w:lineRule="auto"/>
              <w:ind w:left="1659"/>
            </w:pPr>
            <w:r>
              <w:rPr>
                <w:b/>
                <w:bCs/>
                <w:color w:val="404040"/>
                <w:spacing w:val="-4"/>
              </w:rPr>
              <w:t>应急职责</w:t>
            </w:r>
          </w:p>
        </w:tc>
      </w:tr>
      <w:tr w14:paraId="1F4E1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7" w:hRule="atLeast"/>
        </w:trPr>
        <w:tc>
          <w:tcPr>
            <w:tcW w:w="994" w:type="dxa"/>
            <w:vAlign w:val="top"/>
          </w:tcPr>
          <w:p w14:paraId="29F4A062">
            <w:pPr>
              <w:spacing w:line="256" w:lineRule="auto"/>
              <w:rPr>
                <w:rFonts w:ascii="Arial"/>
                <w:sz w:val="21"/>
              </w:rPr>
            </w:pPr>
          </w:p>
          <w:p w14:paraId="719BD8C7">
            <w:pPr>
              <w:spacing w:line="256" w:lineRule="auto"/>
              <w:rPr>
                <w:rFonts w:ascii="Arial"/>
                <w:sz w:val="21"/>
              </w:rPr>
            </w:pPr>
          </w:p>
          <w:p w14:paraId="4B626F3E">
            <w:pPr>
              <w:spacing w:line="256" w:lineRule="auto"/>
              <w:rPr>
                <w:rFonts w:ascii="Arial"/>
                <w:sz w:val="21"/>
              </w:rPr>
            </w:pPr>
          </w:p>
          <w:p w14:paraId="11811BA1">
            <w:pPr>
              <w:spacing w:line="257" w:lineRule="auto"/>
              <w:rPr>
                <w:rFonts w:ascii="Arial"/>
                <w:sz w:val="21"/>
              </w:rPr>
            </w:pPr>
          </w:p>
          <w:p w14:paraId="5B83D6A5">
            <w:pPr>
              <w:pStyle w:val="6"/>
              <w:spacing w:before="69" w:line="220" w:lineRule="auto"/>
              <w:ind w:left="174"/>
            </w:pPr>
            <w:r>
              <w:rPr>
                <w:spacing w:val="3"/>
              </w:rPr>
              <w:t>总指挥</w:t>
            </w:r>
          </w:p>
        </w:tc>
        <w:tc>
          <w:tcPr>
            <w:tcW w:w="2408" w:type="dxa"/>
            <w:vAlign w:val="top"/>
          </w:tcPr>
          <w:p w14:paraId="46621008">
            <w:pPr>
              <w:spacing w:line="255" w:lineRule="auto"/>
              <w:rPr>
                <w:rFonts w:ascii="Arial"/>
                <w:sz w:val="21"/>
              </w:rPr>
            </w:pPr>
          </w:p>
          <w:p w14:paraId="5E3F8150">
            <w:pPr>
              <w:spacing w:line="256" w:lineRule="auto"/>
              <w:rPr>
                <w:rFonts w:ascii="Arial"/>
                <w:sz w:val="21"/>
              </w:rPr>
            </w:pPr>
          </w:p>
          <w:p w14:paraId="38E59B04">
            <w:pPr>
              <w:spacing w:line="256" w:lineRule="auto"/>
              <w:rPr>
                <w:rFonts w:ascii="Arial"/>
                <w:sz w:val="21"/>
              </w:rPr>
            </w:pPr>
          </w:p>
          <w:p w14:paraId="6A516843">
            <w:pPr>
              <w:spacing w:line="256" w:lineRule="auto"/>
              <w:rPr>
                <w:rFonts w:ascii="Arial"/>
                <w:sz w:val="21"/>
              </w:rPr>
            </w:pPr>
          </w:p>
          <w:p w14:paraId="0237ACCC">
            <w:pPr>
              <w:pStyle w:val="6"/>
              <w:spacing w:before="69" w:line="219" w:lineRule="auto"/>
              <w:ind w:left="671"/>
            </w:pPr>
            <w:r>
              <w:rPr>
                <w:spacing w:val="-2"/>
              </w:rPr>
              <w:t>石拐区政府</w:t>
            </w:r>
          </w:p>
        </w:tc>
        <w:tc>
          <w:tcPr>
            <w:tcW w:w="1369" w:type="dxa"/>
            <w:vAlign w:val="top"/>
          </w:tcPr>
          <w:p w14:paraId="628ACF12">
            <w:pPr>
              <w:spacing w:line="302" w:lineRule="auto"/>
              <w:rPr>
                <w:rFonts w:ascii="Arial"/>
                <w:sz w:val="21"/>
              </w:rPr>
            </w:pPr>
          </w:p>
          <w:p w14:paraId="5A7DF62B">
            <w:pPr>
              <w:spacing w:line="302" w:lineRule="auto"/>
              <w:rPr>
                <w:rFonts w:ascii="Arial"/>
                <w:sz w:val="21"/>
              </w:rPr>
            </w:pPr>
          </w:p>
          <w:p w14:paraId="0CC667D1">
            <w:pPr>
              <w:spacing w:line="302" w:lineRule="auto"/>
              <w:rPr>
                <w:rFonts w:ascii="Arial"/>
                <w:sz w:val="21"/>
              </w:rPr>
            </w:pPr>
          </w:p>
          <w:p w14:paraId="10ACCF53">
            <w:pPr>
              <w:pStyle w:val="6"/>
              <w:spacing w:before="68" w:line="220" w:lineRule="auto"/>
              <w:ind w:left="462"/>
            </w:pPr>
            <w:r>
              <w:rPr>
                <w:spacing w:val="6"/>
              </w:rPr>
              <w:t>盖宇</w:t>
            </w:r>
          </w:p>
          <w:p w14:paraId="0604A105">
            <w:pPr>
              <w:pStyle w:val="6"/>
              <w:spacing w:before="29"/>
              <w:ind w:left="92"/>
            </w:pPr>
            <w:r>
              <w:rPr>
                <w:color w:val="304040"/>
                <w:spacing w:val="-2"/>
              </w:rPr>
              <w:t>15848692666</w:t>
            </w:r>
          </w:p>
        </w:tc>
        <w:tc>
          <w:tcPr>
            <w:tcW w:w="1329" w:type="dxa"/>
            <w:vAlign w:val="top"/>
          </w:tcPr>
          <w:p w14:paraId="759F5081">
            <w:pPr>
              <w:spacing w:line="256" w:lineRule="auto"/>
              <w:rPr>
                <w:rFonts w:ascii="Arial"/>
                <w:sz w:val="21"/>
              </w:rPr>
            </w:pPr>
          </w:p>
          <w:p w14:paraId="2A6D6EFF">
            <w:pPr>
              <w:spacing w:line="256" w:lineRule="auto"/>
              <w:rPr>
                <w:rFonts w:ascii="Arial"/>
                <w:sz w:val="21"/>
              </w:rPr>
            </w:pPr>
          </w:p>
          <w:p w14:paraId="0669B965">
            <w:pPr>
              <w:spacing w:line="256" w:lineRule="auto"/>
              <w:rPr>
                <w:rFonts w:ascii="Arial"/>
                <w:sz w:val="21"/>
              </w:rPr>
            </w:pPr>
          </w:p>
          <w:p w14:paraId="58F26F8E">
            <w:pPr>
              <w:spacing w:line="257" w:lineRule="auto"/>
              <w:rPr>
                <w:rFonts w:ascii="Arial"/>
                <w:sz w:val="21"/>
              </w:rPr>
            </w:pPr>
          </w:p>
          <w:p w14:paraId="33B3BD82">
            <w:pPr>
              <w:pStyle w:val="6"/>
              <w:spacing w:before="68" w:line="219" w:lineRule="auto"/>
              <w:ind w:left="344"/>
            </w:pPr>
            <w:r>
              <w:rPr>
                <w:spacing w:val="3"/>
              </w:rPr>
              <w:t>副区长</w:t>
            </w:r>
          </w:p>
        </w:tc>
        <w:tc>
          <w:tcPr>
            <w:tcW w:w="3688" w:type="dxa"/>
            <w:vAlign w:val="top"/>
          </w:tcPr>
          <w:p w14:paraId="282AC15F">
            <w:pPr>
              <w:pStyle w:val="6"/>
              <w:spacing w:before="148" w:line="219" w:lineRule="auto"/>
              <w:ind w:left="225"/>
            </w:pPr>
            <w:r>
              <w:t>(1)贯彻执行国家、地方人民政府及</w:t>
            </w:r>
          </w:p>
          <w:p w14:paraId="7491E97C">
            <w:pPr>
              <w:pStyle w:val="6"/>
              <w:spacing w:before="1" w:line="212" w:lineRule="auto"/>
              <w:ind w:left="105"/>
            </w:pPr>
            <w:r>
              <w:rPr>
                <w:color w:val="405060"/>
                <w:spacing w:val="1"/>
              </w:rPr>
              <w:t>有关部门关于水源地突发环境事件的</w:t>
            </w:r>
          </w:p>
          <w:p w14:paraId="28397811">
            <w:pPr>
              <w:pStyle w:val="6"/>
              <w:spacing w:line="201" w:lineRule="auto"/>
              <w:ind w:left="105"/>
            </w:pPr>
            <w:r>
              <w:rPr>
                <w:spacing w:val="20"/>
              </w:rPr>
              <w:t>各项要求；</w:t>
            </w:r>
          </w:p>
          <w:p w14:paraId="7FB88E68">
            <w:pPr>
              <w:pStyle w:val="6"/>
              <w:spacing w:before="2" w:line="210" w:lineRule="auto"/>
              <w:ind w:left="115" w:right="213" w:firstLine="89"/>
            </w:pPr>
            <w:r>
              <w:t>(2)组织编制、修订和批准水源地应</w:t>
            </w:r>
            <w:r>
              <w:rPr>
                <w:spacing w:val="3"/>
              </w:rPr>
              <w:t xml:space="preserve"> </w:t>
            </w:r>
            <w:r>
              <w:rPr>
                <w:spacing w:val="24"/>
              </w:rPr>
              <w:t>急预案</w:t>
            </w:r>
            <w:r>
              <w:rPr>
                <w:spacing w:val="-48"/>
              </w:rPr>
              <w:t xml:space="preserve"> </w:t>
            </w:r>
            <w:r>
              <w:rPr>
                <w:spacing w:val="24"/>
              </w:rPr>
              <w:t>；</w:t>
            </w:r>
          </w:p>
          <w:p w14:paraId="1AD36528">
            <w:pPr>
              <w:pStyle w:val="6"/>
              <w:spacing w:before="1" w:line="206" w:lineRule="auto"/>
              <w:ind w:left="124" w:right="213" w:firstLine="80"/>
            </w:pPr>
            <w:r>
              <w:t>(3)指导加强水源地突发环境事件应</w:t>
            </w:r>
            <w:r>
              <w:rPr>
                <w:spacing w:val="3"/>
              </w:rPr>
              <w:t xml:space="preserve"> </w:t>
            </w:r>
            <w:r>
              <w:rPr>
                <w:spacing w:val="13"/>
              </w:rPr>
              <w:t>急管理体系建设；</w:t>
            </w:r>
          </w:p>
          <w:p w14:paraId="4FB48513">
            <w:pPr>
              <w:pStyle w:val="6"/>
              <w:spacing w:line="215" w:lineRule="auto"/>
              <w:ind w:left="124" w:right="213" w:firstLine="80"/>
            </w:pPr>
            <w:r>
              <w:t>(4)协调保障水源地突发环境事件应</w:t>
            </w:r>
            <w:r>
              <w:rPr>
                <w:spacing w:val="3"/>
              </w:rPr>
              <w:t xml:space="preserve"> </w:t>
            </w:r>
            <w:r>
              <w:rPr>
                <w:spacing w:val="-1"/>
              </w:rPr>
              <w:t>急管理工作经费。</w:t>
            </w:r>
          </w:p>
        </w:tc>
        <w:tc>
          <w:tcPr>
            <w:tcW w:w="4172" w:type="dxa"/>
            <w:vAlign w:val="top"/>
          </w:tcPr>
          <w:p w14:paraId="0F68A2C8">
            <w:pPr>
              <w:pStyle w:val="6"/>
              <w:spacing w:before="28" w:line="211" w:lineRule="auto"/>
              <w:ind w:left="107" w:right="165" w:firstLine="99"/>
            </w:pPr>
            <w:r>
              <w:t>(1)发生水源地突发环境事件时，</w:t>
            </w:r>
            <w:r>
              <w:rPr>
                <w:color w:val="506060"/>
              </w:rPr>
              <w:t>亲自(或</w:t>
            </w:r>
            <w:r>
              <w:rPr>
                <w:color w:val="506060"/>
                <w:spacing w:val="8"/>
              </w:rPr>
              <w:t xml:space="preserve"> </w:t>
            </w:r>
            <w:r>
              <w:rPr>
                <w:color w:val="304040"/>
                <w:spacing w:val="-1"/>
              </w:rPr>
              <w:t>委托副总指挥)</w:t>
            </w:r>
            <w:r>
              <w:rPr>
                <w:color w:val="506060"/>
                <w:spacing w:val="-1"/>
              </w:rPr>
              <w:t>赶赴现场进行指挥，</w:t>
            </w:r>
            <w:r>
              <w:rPr>
                <w:spacing w:val="-1"/>
              </w:rPr>
              <w:t>组织开</w:t>
            </w:r>
            <w:r>
              <w:rPr>
                <w:spacing w:val="12"/>
              </w:rPr>
              <w:t xml:space="preserve"> </w:t>
            </w:r>
            <w:r>
              <w:rPr>
                <w:spacing w:val="13"/>
              </w:rPr>
              <w:t>展现场应急处置；</w:t>
            </w:r>
          </w:p>
          <w:p w14:paraId="3F357B57">
            <w:pPr>
              <w:pStyle w:val="6"/>
              <w:spacing w:before="2" w:line="206" w:lineRule="auto"/>
              <w:ind w:left="126" w:right="275" w:firstLine="80"/>
            </w:pPr>
            <w:r>
              <w:t>(2)贯彻执行当地或上级人民政府及有关</w:t>
            </w:r>
            <w:r>
              <w:rPr>
                <w:spacing w:val="3"/>
              </w:rPr>
              <w:t xml:space="preserve"> </w:t>
            </w:r>
            <w:r>
              <w:rPr>
                <w:spacing w:val="13"/>
              </w:rPr>
              <w:t>部门的应急指令；</w:t>
            </w:r>
          </w:p>
          <w:p w14:paraId="2FD75A0A">
            <w:pPr>
              <w:pStyle w:val="6"/>
              <w:spacing w:line="211" w:lineRule="auto"/>
              <w:ind w:left="206"/>
            </w:pPr>
            <w:r>
              <w:rPr>
                <w:color w:val="405060"/>
              </w:rPr>
              <w:t>(3)按照预警、应急启动或终止条件，决</w:t>
            </w:r>
          </w:p>
          <w:p w14:paraId="0B42338C">
            <w:pPr>
              <w:pStyle w:val="6"/>
              <w:spacing w:line="219" w:lineRule="auto"/>
              <w:ind w:left="116"/>
            </w:pPr>
            <w:r>
              <w:rPr>
                <w:spacing w:val="10"/>
              </w:rPr>
              <w:t>定预案的启动或终止；</w:t>
            </w:r>
          </w:p>
          <w:p w14:paraId="2AAC5F3E">
            <w:pPr>
              <w:pStyle w:val="6"/>
              <w:spacing w:line="202" w:lineRule="auto"/>
              <w:ind w:left="216"/>
            </w:pPr>
            <w:r>
              <w:rPr>
                <w:color w:val="304050"/>
              </w:rPr>
              <w:t>(4)研判突发环境事件发展态势，</w:t>
            </w:r>
            <w:r>
              <w:t>组织制</w:t>
            </w:r>
          </w:p>
          <w:p w14:paraId="6062F837">
            <w:pPr>
              <w:pStyle w:val="6"/>
              <w:spacing w:line="192" w:lineRule="auto"/>
              <w:ind w:left="126"/>
            </w:pPr>
            <w:r>
              <w:rPr>
                <w:color w:val="204030"/>
                <w:spacing w:val="9"/>
              </w:rPr>
              <w:t>定并批准现场处置方案；</w:t>
            </w:r>
          </w:p>
          <w:p w14:paraId="119C2586">
            <w:pPr>
              <w:pStyle w:val="6"/>
              <w:spacing w:line="201" w:lineRule="auto"/>
              <w:ind w:left="216"/>
            </w:pPr>
            <w:r>
              <w:t>(5)组织开展损害评估等后期工作。</w:t>
            </w:r>
          </w:p>
        </w:tc>
      </w:tr>
      <w:tr w14:paraId="1602B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994" w:type="dxa"/>
            <w:vMerge w:val="restart"/>
            <w:tcBorders>
              <w:bottom w:val="nil"/>
            </w:tcBorders>
            <w:vAlign w:val="top"/>
          </w:tcPr>
          <w:p w14:paraId="0234B2CC">
            <w:pPr>
              <w:spacing w:line="299" w:lineRule="auto"/>
              <w:rPr>
                <w:rFonts w:ascii="Arial"/>
                <w:sz w:val="21"/>
              </w:rPr>
            </w:pPr>
          </w:p>
          <w:p w14:paraId="5B8A937D">
            <w:pPr>
              <w:spacing w:line="300" w:lineRule="auto"/>
              <w:rPr>
                <w:rFonts w:ascii="Arial"/>
                <w:sz w:val="21"/>
              </w:rPr>
            </w:pPr>
          </w:p>
          <w:p w14:paraId="7F87A28E">
            <w:pPr>
              <w:spacing w:line="300" w:lineRule="auto"/>
              <w:rPr>
                <w:rFonts w:ascii="Arial"/>
                <w:sz w:val="21"/>
              </w:rPr>
            </w:pPr>
          </w:p>
          <w:p w14:paraId="689E4198">
            <w:pPr>
              <w:pStyle w:val="6"/>
              <w:spacing w:before="68" w:line="219" w:lineRule="auto"/>
              <w:ind w:left="275"/>
            </w:pPr>
            <w:r>
              <w:rPr>
                <w:spacing w:val="8"/>
              </w:rPr>
              <w:t>副总</w:t>
            </w:r>
          </w:p>
          <w:p w14:paraId="609D0B06">
            <w:pPr>
              <w:pStyle w:val="6"/>
              <w:spacing w:before="11" w:line="220" w:lineRule="auto"/>
              <w:ind w:left="275"/>
            </w:pPr>
            <w:r>
              <w:rPr>
                <w:spacing w:val="4"/>
              </w:rPr>
              <w:t>指挥</w:t>
            </w:r>
          </w:p>
        </w:tc>
        <w:tc>
          <w:tcPr>
            <w:tcW w:w="2408" w:type="dxa"/>
            <w:vAlign w:val="top"/>
          </w:tcPr>
          <w:p w14:paraId="788EB8B0">
            <w:pPr>
              <w:pStyle w:val="6"/>
              <w:spacing w:before="272" w:line="210" w:lineRule="auto"/>
              <w:ind w:left="770"/>
            </w:pPr>
            <w:r>
              <w:rPr>
                <w:spacing w:val="-2"/>
              </w:rPr>
              <w:t>石拐区政</w:t>
            </w:r>
          </w:p>
          <w:p w14:paraId="4634CDEE">
            <w:pPr>
              <w:pStyle w:val="6"/>
              <w:spacing w:line="218" w:lineRule="auto"/>
              <w:ind w:left="770"/>
            </w:pPr>
            <w:r>
              <w:rPr>
                <w:spacing w:val="-2"/>
              </w:rPr>
              <w:t>府办公室</w:t>
            </w:r>
          </w:p>
        </w:tc>
        <w:tc>
          <w:tcPr>
            <w:tcW w:w="1369" w:type="dxa"/>
            <w:vAlign w:val="top"/>
          </w:tcPr>
          <w:p w14:paraId="551C517B">
            <w:pPr>
              <w:pStyle w:val="6"/>
              <w:spacing w:before="283" w:line="220" w:lineRule="auto"/>
              <w:ind w:left="462"/>
            </w:pPr>
            <w:r>
              <w:rPr>
                <w:spacing w:val="4"/>
              </w:rPr>
              <w:t>马斌</w:t>
            </w:r>
          </w:p>
          <w:p w14:paraId="41763DCB">
            <w:pPr>
              <w:pStyle w:val="6"/>
              <w:spacing w:before="19"/>
              <w:ind w:left="92"/>
            </w:pPr>
            <w:r>
              <w:rPr>
                <w:spacing w:val="-2"/>
              </w:rPr>
              <w:t>13848210362</w:t>
            </w:r>
          </w:p>
        </w:tc>
        <w:tc>
          <w:tcPr>
            <w:tcW w:w="1329" w:type="dxa"/>
            <w:vAlign w:val="top"/>
          </w:tcPr>
          <w:p w14:paraId="43547B22">
            <w:pPr>
              <w:spacing w:line="332" w:lineRule="auto"/>
              <w:rPr>
                <w:rFonts w:ascii="Arial"/>
                <w:sz w:val="21"/>
              </w:rPr>
            </w:pPr>
          </w:p>
          <w:p w14:paraId="158E661F">
            <w:pPr>
              <w:pStyle w:val="6"/>
              <w:spacing w:before="68" w:line="219" w:lineRule="auto"/>
              <w:ind w:left="133"/>
            </w:pPr>
            <w:r>
              <w:rPr>
                <w:spacing w:val="1"/>
              </w:rPr>
              <w:t>办公室主任</w:t>
            </w:r>
          </w:p>
        </w:tc>
        <w:tc>
          <w:tcPr>
            <w:tcW w:w="3688" w:type="dxa"/>
            <w:vMerge w:val="restart"/>
            <w:tcBorders>
              <w:bottom w:val="nil"/>
            </w:tcBorders>
            <w:vAlign w:val="top"/>
          </w:tcPr>
          <w:p w14:paraId="5321CB0E">
            <w:pPr>
              <w:spacing w:line="280" w:lineRule="auto"/>
              <w:rPr>
                <w:rFonts w:ascii="Arial"/>
                <w:sz w:val="21"/>
              </w:rPr>
            </w:pPr>
          </w:p>
          <w:p w14:paraId="33AA9807">
            <w:pPr>
              <w:spacing w:line="281" w:lineRule="auto"/>
              <w:rPr>
                <w:rFonts w:ascii="Arial"/>
                <w:sz w:val="21"/>
              </w:rPr>
            </w:pPr>
          </w:p>
          <w:p w14:paraId="0F371BDF">
            <w:pPr>
              <w:pStyle w:val="6"/>
              <w:spacing w:before="68" w:line="211" w:lineRule="auto"/>
              <w:ind w:left="204"/>
            </w:pPr>
            <w:r>
              <w:rPr>
                <w:spacing w:val="6"/>
              </w:rPr>
              <w:t>(1)协助总指挥开展有关工作；</w:t>
            </w:r>
          </w:p>
          <w:p w14:paraId="3C2F766C">
            <w:pPr>
              <w:pStyle w:val="6"/>
              <w:spacing w:line="213" w:lineRule="auto"/>
              <w:ind w:left="115" w:right="188" w:firstLine="110"/>
            </w:pPr>
            <w:r>
              <w:t>(2)组织指导预案培训和演练、应急</w:t>
            </w:r>
            <w:r>
              <w:rPr>
                <w:spacing w:val="8"/>
              </w:rPr>
              <w:t xml:space="preserve"> </w:t>
            </w:r>
            <w:r>
              <w:rPr>
                <w:spacing w:val="7"/>
              </w:rPr>
              <w:t>救援队伍建设和能力评估等工作；</w:t>
            </w:r>
          </w:p>
          <w:p w14:paraId="3044D970">
            <w:pPr>
              <w:pStyle w:val="6"/>
              <w:spacing w:before="3" w:line="212" w:lineRule="auto"/>
              <w:ind w:left="204"/>
            </w:pPr>
            <w:r>
              <w:t>(3)指导开展水源地突发环境事件风</w:t>
            </w:r>
          </w:p>
          <w:p w14:paraId="27781B7E">
            <w:pPr>
              <w:pStyle w:val="6"/>
              <w:spacing w:line="220" w:lineRule="auto"/>
              <w:ind w:left="115"/>
            </w:pPr>
            <w:r>
              <w:rPr>
                <w:color w:val="304040"/>
                <w:spacing w:val="-1"/>
              </w:rPr>
              <w:t>险防范和应急准备工作。</w:t>
            </w:r>
          </w:p>
        </w:tc>
        <w:tc>
          <w:tcPr>
            <w:tcW w:w="4172" w:type="dxa"/>
            <w:vMerge w:val="restart"/>
            <w:tcBorders>
              <w:bottom w:val="nil"/>
            </w:tcBorders>
            <w:vAlign w:val="top"/>
          </w:tcPr>
          <w:p w14:paraId="53D727F6">
            <w:pPr>
              <w:pStyle w:val="6"/>
              <w:spacing w:before="273" w:line="201" w:lineRule="auto"/>
              <w:ind w:left="227"/>
            </w:pPr>
            <w:r>
              <w:rPr>
                <w:color w:val="607070"/>
                <w:spacing w:val="5"/>
              </w:rPr>
              <w:t>(1)协助总指挥组织开展现场应急处置；</w:t>
            </w:r>
          </w:p>
          <w:p w14:paraId="54886369">
            <w:pPr>
              <w:pStyle w:val="6"/>
              <w:spacing w:line="211" w:lineRule="auto"/>
              <w:ind w:left="216"/>
            </w:pPr>
            <w:r>
              <w:rPr>
                <w:color w:val="506060"/>
              </w:rPr>
              <w:t>(2)根据分工或总指挥安排，负责现场的</w:t>
            </w:r>
          </w:p>
          <w:p w14:paraId="428E9147">
            <w:pPr>
              <w:pStyle w:val="6"/>
              <w:spacing w:line="210" w:lineRule="auto"/>
              <w:ind w:left="126"/>
            </w:pPr>
            <w:r>
              <w:rPr>
                <w:spacing w:val="15"/>
              </w:rPr>
              <w:t>具体指挥协调；</w:t>
            </w:r>
          </w:p>
          <w:p w14:paraId="729BB3D6">
            <w:pPr>
              <w:pStyle w:val="6"/>
              <w:spacing w:before="1" w:line="210" w:lineRule="auto"/>
              <w:ind w:left="216"/>
            </w:pPr>
            <w:r>
              <w:rPr>
                <w:color w:val="304030"/>
                <w:spacing w:val="6"/>
              </w:rPr>
              <w:t>(3)负责提出有关应急处置建议；</w:t>
            </w:r>
          </w:p>
          <w:p w14:paraId="33AE8806">
            <w:pPr>
              <w:pStyle w:val="6"/>
              <w:spacing w:before="1" w:line="210" w:lineRule="auto"/>
              <w:ind w:left="227"/>
            </w:pPr>
            <w:r>
              <w:rPr>
                <w:color w:val="405050"/>
                <w:spacing w:val="5"/>
              </w:rPr>
              <w:t>(4)负责向场外人员通报有关应急信息；</w:t>
            </w:r>
          </w:p>
          <w:p w14:paraId="21570791">
            <w:pPr>
              <w:pStyle w:val="6"/>
              <w:spacing w:line="202" w:lineRule="auto"/>
              <w:ind w:left="227"/>
            </w:pPr>
            <w:r>
              <w:rPr>
                <w:color w:val="506060"/>
                <w:spacing w:val="5"/>
              </w:rPr>
              <w:t>(5)负责协调现场与场外应急处置工作；</w:t>
            </w:r>
          </w:p>
          <w:p w14:paraId="47E30686">
            <w:pPr>
              <w:pStyle w:val="6"/>
              <w:spacing w:line="219" w:lineRule="auto"/>
              <w:jc w:val="right"/>
            </w:pPr>
            <w:r>
              <w:rPr>
                <w:spacing w:val="3"/>
              </w:rPr>
              <w:t>(6)停止取水后，</w:t>
            </w:r>
            <w:r>
              <w:rPr>
                <w:color w:val="607070"/>
                <w:spacing w:val="3"/>
              </w:rPr>
              <w:t>负责协调保障居民用水；</w:t>
            </w:r>
          </w:p>
          <w:p w14:paraId="0456263C">
            <w:pPr>
              <w:pStyle w:val="6"/>
              <w:spacing w:before="1" w:line="219" w:lineRule="auto"/>
              <w:ind w:left="216"/>
            </w:pPr>
            <w:r>
              <w:rPr>
                <w:color w:val="305050"/>
                <w:spacing w:val="-1"/>
              </w:rPr>
              <w:t>(7)处置现场出现的紧急情况。</w:t>
            </w:r>
          </w:p>
        </w:tc>
      </w:tr>
      <w:tr w14:paraId="6A049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994" w:type="dxa"/>
            <w:vMerge w:val="continue"/>
            <w:tcBorders>
              <w:top w:val="nil"/>
              <w:bottom w:val="nil"/>
            </w:tcBorders>
            <w:vAlign w:val="top"/>
          </w:tcPr>
          <w:p w14:paraId="021605D8">
            <w:pPr>
              <w:rPr>
                <w:rFonts w:ascii="Arial"/>
                <w:sz w:val="21"/>
              </w:rPr>
            </w:pPr>
          </w:p>
        </w:tc>
        <w:tc>
          <w:tcPr>
            <w:tcW w:w="2408" w:type="dxa"/>
            <w:vAlign w:val="top"/>
          </w:tcPr>
          <w:p w14:paraId="469AEDB4">
            <w:pPr>
              <w:pStyle w:val="6"/>
              <w:spacing w:before="154" w:line="216" w:lineRule="auto"/>
              <w:ind w:left="880" w:right="141" w:hanging="739"/>
            </w:pPr>
            <w:r>
              <w:rPr>
                <w:spacing w:val="1"/>
              </w:rPr>
              <w:t>包头市生态环境局石拐</w:t>
            </w:r>
            <w:r>
              <w:rPr>
                <w:spacing w:val="4"/>
              </w:rPr>
              <w:t xml:space="preserve"> </w:t>
            </w:r>
            <w:r>
              <w:rPr>
                <w:spacing w:val="6"/>
              </w:rPr>
              <w:t>区分局</w:t>
            </w:r>
          </w:p>
        </w:tc>
        <w:tc>
          <w:tcPr>
            <w:tcW w:w="1369" w:type="dxa"/>
            <w:vAlign w:val="top"/>
          </w:tcPr>
          <w:p w14:paraId="1860699C">
            <w:pPr>
              <w:pStyle w:val="6"/>
              <w:spacing w:before="154" w:line="219" w:lineRule="auto"/>
              <w:ind w:left="363"/>
            </w:pPr>
            <w:r>
              <w:rPr>
                <w:spacing w:val="3"/>
              </w:rPr>
              <w:t>祁永旺</w:t>
            </w:r>
          </w:p>
          <w:p w14:paraId="36E2CF72">
            <w:pPr>
              <w:pStyle w:val="6"/>
              <w:spacing w:before="41"/>
              <w:ind w:left="92"/>
            </w:pPr>
            <w:r>
              <w:rPr>
                <w:spacing w:val="-2"/>
              </w:rPr>
              <w:t>13947285567</w:t>
            </w:r>
          </w:p>
        </w:tc>
        <w:tc>
          <w:tcPr>
            <w:tcW w:w="1329" w:type="dxa"/>
            <w:vAlign w:val="top"/>
          </w:tcPr>
          <w:p w14:paraId="2A26D8F9">
            <w:pPr>
              <w:pStyle w:val="6"/>
              <w:spacing w:before="275" w:line="221" w:lineRule="auto"/>
              <w:ind w:left="443"/>
            </w:pPr>
            <w:r>
              <w:rPr>
                <w:spacing w:val="4"/>
              </w:rPr>
              <w:t>局长</w:t>
            </w:r>
          </w:p>
        </w:tc>
        <w:tc>
          <w:tcPr>
            <w:tcW w:w="3688" w:type="dxa"/>
            <w:vMerge w:val="continue"/>
            <w:tcBorders>
              <w:top w:val="nil"/>
              <w:bottom w:val="nil"/>
            </w:tcBorders>
            <w:vAlign w:val="top"/>
          </w:tcPr>
          <w:p w14:paraId="37679171">
            <w:pPr>
              <w:rPr>
                <w:rFonts w:ascii="Arial"/>
                <w:sz w:val="21"/>
              </w:rPr>
            </w:pPr>
          </w:p>
        </w:tc>
        <w:tc>
          <w:tcPr>
            <w:tcW w:w="4172" w:type="dxa"/>
            <w:vMerge w:val="continue"/>
            <w:tcBorders>
              <w:top w:val="nil"/>
              <w:bottom w:val="nil"/>
            </w:tcBorders>
            <w:vAlign w:val="top"/>
          </w:tcPr>
          <w:p w14:paraId="20A88DC5">
            <w:pPr>
              <w:rPr>
                <w:rFonts w:ascii="Arial"/>
                <w:sz w:val="21"/>
              </w:rPr>
            </w:pPr>
          </w:p>
        </w:tc>
      </w:tr>
      <w:tr w14:paraId="484D4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94" w:type="dxa"/>
            <w:vMerge w:val="continue"/>
            <w:tcBorders>
              <w:top w:val="nil"/>
            </w:tcBorders>
            <w:vAlign w:val="top"/>
          </w:tcPr>
          <w:p w14:paraId="49EFD8A1">
            <w:pPr>
              <w:rPr>
                <w:rFonts w:ascii="Arial"/>
                <w:sz w:val="21"/>
              </w:rPr>
            </w:pPr>
          </w:p>
        </w:tc>
        <w:tc>
          <w:tcPr>
            <w:tcW w:w="2408" w:type="dxa"/>
            <w:vAlign w:val="top"/>
          </w:tcPr>
          <w:p w14:paraId="6A06B59B">
            <w:pPr>
              <w:pStyle w:val="6"/>
              <w:spacing w:before="226" w:line="220" w:lineRule="auto"/>
              <w:ind w:left="560"/>
            </w:pPr>
            <w:r>
              <w:rPr>
                <w:spacing w:val="3"/>
              </w:rPr>
              <w:t>石拐区住建局</w:t>
            </w:r>
          </w:p>
        </w:tc>
        <w:tc>
          <w:tcPr>
            <w:tcW w:w="1369" w:type="dxa"/>
            <w:vAlign w:val="top"/>
          </w:tcPr>
          <w:p w14:paraId="3BCA8061">
            <w:pPr>
              <w:pStyle w:val="6"/>
              <w:spacing w:before="105" w:line="219" w:lineRule="auto"/>
              <w:ind w:left="462"/>
            </w:pPr>
            <w:r>
              <w:rPr>
                <w:spacing w:val="14"/>
              </w:rPr>
              <w:t>杨勇</w:t>
            </w:r>
          </w:p>
          <w:p w14:paraId="3D8EF592">
            <w:pPr>
              <w:pStyle w:val="6"/>
              <w:spacing w:before="31" w:line="213" w:lineRule="auto"/>
              <w:ind w:left="92"/>
            </w:pPr>
            <w:r>
              <w:rPr>
                <w:spacing w:val="-2"/>
              </w:rPr>
              <w:t>13847235577</w:t>
            </w:r>
          </w:p>
        </w:tc>
        <w:tc>
          <w:tcPr>
            <w:tcW w:w="1329" w:type="dxa"/>
            <w:vAlign w:val="top"/>
          </w:tcPr>
          <w:p w14:paraId="44EC8218">
            <w:pPr>
              <w:pStyle w:val="6"/>
              <w:spacing w:before="226" w:line="221" w:lineRule="auto"/>
              <w:ind w:left="443"/>
            </w:pPr>
            <w:r>
              <w:rPr>
                <w:spacing w:val="4"/>
              </w:rPr>
              <w:t>局长</w:t>
            </w:r>
          </w:p>
        </w:tc>
        <w:tc>
          <w:tcPr>
            <w:tcW w:w="3688" w:type="dxa"/>
            <w:vMerge w:val="continue"/>
            <w:tcBorders>
              <w:top w:val="nil"/>
            </w:tcBorders>
            <w:vAlign w:val="top"/>
          </w:tcPr>
          <w:p w14:paraId="097B1A6B">
            <w:pPr>
              <w:rPr>
                <w:rFonts w:ascii="Arial"/>
                <w:sz w:val="21"/>
              </w:rPr>
            </w:pPr>
          </w:p>
        </w:tc>
        <w:tc>
          <w:tcPr>
            <w:tcW w:w="4172" w:type="dxa"/>
            <w:vMerge w:val="continue"/>
            <w:tcBorders>
              <w:top w:val="nil"/>
            </w:tcBorders>
            <w:vAlign w:val="top"/>
          </w:tcPr>
          <w:p w14:paraId="1E2B7818">
            <w:pPr>
              <w:rPr>
                <w:rFonts w:ascii="Arial"/>
                <w:sz w:val="21"/>
              </w:rPr>
            </w:pPr>
          </w:p>
        </w:tc>
      </w:tr>
      <w:tr w14:paraId="28B13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994" w:type="dxa"/>
            <w:vMerge w:val="restart"/>
            <w:tcBorders>
              <w:bottom w:val="nil"/>
            </w:tcBorders>
            <w:vAlign w:val="top"/>
          </w:tcPr>
          <w:p w14:paraId="5EF4E0F6">
            <w:pPr>
              <w:spacing w:line="241" w:lineRule="auto"/>
              <w:rPr>
                <w:rFonts w:ascii="Arial"/>
                <w:sz w:val="21"/>
              </w:rPr>
            </w:pPr>
          </w:p>
          <w:p w14:paraId="3AE5BB37">
            <w:pPr>
              <w:spacing w:line="241" w:lineRule="auto"/>
              <w:rPr>
                <w:rFonts w:ascii="Arial"/>
                <w:sz w:val="21"/>
              </w:rPr>
            </w:pPr>
          </w:p>
          <w:p w14:paraId="5DD81A3B">
            <w:pPr>
              <w:spacing w:line="242" w:lineRule="auto"/>
              <w:rPr>
                <w:rFonts w:ascii="Arial"/>
                <w:sz w:val="21"/>
              </w:rPr>
            </w:pPr>
          </w:p>
          <w:p w14:paraId="2C2AF42B">
            <w:pPr>
              <w:pStyle w:val="6"/>
              <w:spacing w:before="69" w:line="221" w:lineRule="auto"/>
              <w:ind w:left="174" w:right="169" w:firstLine="100"/>
            </w:pPr>
            <w:r>
              <w:rPr>
                <w:spacing w:val="8"/>
              </w:rPr>
              <w:t>协调</w:t>
            </w:r>
            <w:r>
              <w:t xml:space="preserve">  </w:t>
            </w:r>
            <w:r>
              <w:rPr>
                <w:spacing w:val="3"/>
              </w:rPr>
              <w:t>办公室</w:t>
            </w:r>
          </w:p>
        </w:tc>
        <w:tc>
          <w:tcPr>
            <w:tcW w:w="2408" w:type="dxa"/>
            <w:vAlign w:val="top"/>
          </w:tcPr>
          <w:p w14:paraId="5E209418">
            <w:pPr>
              <w:spacing w:line="346" w:lineRule="auto"/>
              <w:rPr>
                <w:rFonts w:ascii="Arial"/>
                <w:sz w:val="21"/>
              </w:rPr>
            </w:pPr>
          </w:p>
          <w:p w14:paraId="2ABFA81A">
            <w:pPr>
              <w:pStyle w:val="6"/>
              <w:spacing w:before="68" w:line="219" w:lineRule="auto"/>
              <w:ind w:left="351"/>
            </w:pPr>
            <w:r>
              <w:rPr>
                <w:spacing w:val="2"/>
              </w:rPr>
              <w:t>石拐区应急管理局</w:t>
            </w:r>
          </w:p>
        </w:tc>
        <w:tc>
          <w:tcPr>
            <w:tcW w:w="1369" w:type="dxa"/>
            <w:vAlign w:val="top"/>
          </w:tcPr>
          <w:p w14:paraId="666DC370">
            <w:pPr>
              <w:pStyle w:val="6"/>
              <w:spacing w:before="296" w:line="268" w:lineRule="auto"/>
              <w:ind w:left="92" w:right="134" w:firstLine="440"/>
            </w:pPr>
            <w:r>
              <w:rPr>
                <w:spacing w:val="7"/>
              </w:rPr>
              <w:t>李新明</w:t>
            </w:r>
            <w:r>
              <w:t xml:space="preserve"> </w:t>
            </w:r>
            <w:r>
              <w:rPr>
                <w:spacing w:val="-3"/>
              </w:rPr>
              <w:t>13847259566</w:t>
            </w:r>
          </w:p>
        </w:tc>
        <w:tc>
          <w:tcPr>
            <w:tcW w:w="1329" w:type="dxa"/>
            <w:vAlign w:val="top"/>
          </w:tcPr>
          <w:p w14:paraId="649769F7">
            <w:pPr>
              <w:spacing w:line="347" w:lineRule="auto"/>
              <w:rPr>
                <w:rFonts w:ascii="Arial"/>
                <w:sz w:val="21"/>
              </w:rPr>
            </w:pPr>
          </w:p>
          <w:p w14:paraId="3FAA4E77">
            <w:pPr>
              <w:pStyle w:val="6"/>
              <w:spacing w:before="68" w:line="221" w:lineRule="auto"/>
              <w:ind w:left="443"/>
            </w:pPr>
            <w:r>
              <w:rPr>
                <w:spacing w:val="4"/>
              </w:rPr>
              <w:t>局长</w:t>
            </w:r>
          </w:p>
        </w:tc>
        <w:tc>
          <w:tcPr>
            <w:tcW w:w="3688" w:type="dxa"/>
            <w:vMerge w:val="restart"/>
            <w:tcBorders>
              <w:bottom w:val="nil"/>
            </w:tcBorders>
            <w:vAlign w:val="top"/>
          </w:tcPr>
          <w:p w14:paraId="0A8436FF">
            <w:pPr>
              <w:spacing w:line="246" w:lineRule="auto"/>
              <w:rPr>
                <w:rFonts w:ascii="Arial"/>
                <w:sz w:val="21"/>
              </w:rPr>
            </w:pPr>
          </w:p>
          <w:p w14:paraId="40D2C478">
            <w:pPr>
              <w:pStyle w:val="6"/>
              <w:spacing w:before="68" w:line="211" w:lineRule="auto"/>
              <w:jc w:val="right"/>
            </w:pPr>
            <w:r>
              <w:rPr>
                <w:spacing w:val="-1"/>
              </w:rPr>
              <w:t>(1)组织编制、修订水源地应急预案；</w:t>
            </w:r>
          </w:p>
          <w:p w14:paraId="36ADDCD6">
            <w:pPr>
              <w:pStyle w:val="6"/>
              <w:spacing w:line="219" w:lineRule="auto"/>
              <w:jc w:val="right"/>
            </w:pPr>
            <w:r>
              <w:rPr>
                <w:color w:val="305050"/>
                <w:spacing w:val="-1"/>
              </w:rPr>
              <w:t>(2)负责水源地应急预案的日常管理，</w:t>
            </w:r>
          </w:p>
          <w:p w14:paraId="48677B98">
            <w:pPr>
              <w:pStyle w:val="6"/>
              <w:spacing w:before="1" w:line="206" w:lineRule="auto"/>
              <w:ind w:left="124" w:right="2" w:hanging="9"/>
            </w:pPr>
            <w:r>
              <w:rPr>
                <w:spacing w:val="-1"/>
              </w:rPr>
              <w:t>开展预案培训和演练、应急救援队伍建</w:t>
            </w:r>
            <w:r>
              <w:rPr>
                <w:spacing w:val="6"/>
              </w:rPr>
              <w:t xml:space="preserve"> </w:t>
            </w:r>
            <w:r>
              <w:rPr>
                <w:spacing w:val="10"/>
              </w:rPr>
              <w:t>设和能力评估等工作；</w:t>
            </w:r>
          </w:p>
          <w:p w14:paraId="4320BA84">
            <w:pPr>
              <w:pStyle w:val="6"/>
              <w:spacing w:line="211" w:lineRule="auto"/>
              <w:ind w:left="204"/>
            </w:pPr>
            <w:r>
              <w:t>(3)组织开展水源地突发环境事件风</w:t>
            </w:r>
          </w:p>
          <w:p w14:paraId="416036C4">
            <w:pPr>
              <w:pStyle w:val="6"/>
              <w:spacing w:before="1" w:line="220" w:lineRule="auto"/>
              <w:ind w:left="124"/>
            </w:pPr>
            <w:r>
              <w:rPr>
                <w:color w:val="405050"/>
                <w:spacing w:val="-1"/>
              </w:rPr>
              <w:t>险防范和应急准备工作。</w:t>
            </w:r>
          </w:p>
        </w:tc>
        <w:tc>
          <w:tcPr>
            <w:tcW w:w="4172" w:type="dxa"/>
            <w:vMerge w:val="restart"/>
            <w:tcBorders>
              <w:bottom w:val="nil"/>
            </w:tcBorders>
            <w:vAlign w:val="top"/>
          </w:tcPr>
          <w:p w14:paraId="44DAF946">
            <w:pPr>
              <w:pStyle w:val="6"/>
              <w:spacing w:before="186" w:line="210" w:lineRule="auto"/>
              <w:ind w:left="206"/>
            </w:pPr>
            <w:r>
              <w:rPr>
                <w:color w:val="405050"/>
              </w:rPr>
              <w:t>(1)贯彻执行总指挥、副总指挥的各项指</w:t>
            </w:r>
          </w:p>
          <w:p w14:paraId="1FB50FC4">
            <w:pPr>
              <w:pStyle w:val="6"/>
              <w:spacing w:line="218" w:lineRule="auto"/>
              <w:ind w:left="116"/>
            </w:pPr>
            <w:r>
              <w:rPr>
                <w:spacing w:val="20"/>
              </w:rPr>
              <w:t>令和要求；</w:t>
            </w:r>
          </w:p>
          <w:p w14:paraId="69D8B352">
            <w:pPr>
              <w:pStyle w:val="6"/>
              <w:spacing w:before="1" w:line="211" w:lineRule="auto"/>
              <w:ind w:left="107" w:right="273" w:firstLine="99"/>
            </w:pPr>
            <w:r>
              <w:t>(2)负责信息汇总上报，并与有关的外部</w:t>
            </w:r>
            <w:r>
              <w:rPr>
                <w:spacing w:val="5"/>
              </w:rPr>
              <w:t xml:space="preserve"> </w:t>
            </w:r>
            <w:r>
              <w:rPr>
                <w:spacing w:val="7"/>
              </w:rPr>
              <w:t>应急部门、组织和机构进行联络；</w:t>
            </w:r>
          </w:p>
          <w:p w14:paraId="60FBC013">
            <w:pPr>
              <w:pStyle w:val="6"/>
              <w:spacing w:line="219" w:lineRule="auto"/>
              <w:ind w:left="216"/>
            </w:pPr>
            <w:r>
              <w:rPr>
                <w:color w:val="506060"/>
              </w:rPr>
              <w:t>(3)负责调动应急人员、</w:t>
            </w:r>
            <w:r>
              <w:rPr>
                <w:color w:val="303040"/>
              </w:rPr>
              <w:t>调配应急资源和</w:t>
            </w:r>
          </w:p>
          <w:p w14:paraId="2C2B87B2">
            <w:pPr>
              <w:pStyle w:val="6"/>
              <w:spacing w:before="10" w:line="212" w:lineRule="auto"/>
              <w:ind w:left="107"/>
            </w:pPr>
            <w:r>
              <w:rPr>
                <w:spacing w:val="8"/>
              </w:rPr>
              <w:t>联络外部应急组织或机构；</w:t>
            </w:r>
          </w:p>
          <w:p w14:paraId="35FFAB92">
            <w:pPr>
              <w:pStyle w:val="6"/>
              <w:spacing w:line="219" w:lineRule="auto"/>
              <w:ind w:left="206"/>
            </w:pPr>
            <w:r>
              <w:rPr>
                <w:color w:val="405050"/>
              </w:rPr>
              <w:t>(4)收集整理有关事件数据。</w:t>
            </w:r>
          </w:p>
        </w:tc>
      </w:tr>
      <w:tr w14:paraId="6BA41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994" w:type="dxa"/>
            <w:vMerge w:val="continue"/>
            <w:tcBorders>
              <w:top w:val="nil"/>
            </w:tcBorders>
            <w:vAlign w:val="top"/>
          </w:tcPr>
          <w:p w14:paraId="65A451E7">
            <w:pPr>
              <w:rPr>
                <w:rFonts w:ascii="Arial"/>
                <w:sz w:val="21"/>
              </w:rPr>
            </w:pPr>
          </w:p>
        </w:tc>
        <w:tc>
          <w:tcPr>
            <w:tcW w:w="2408" w:type="dxa"/>
            <w:vAlign w:val="top"/>
          </w:tcPr>
          <w:p w14:paraId="48357169">
            <w:pPr>
              <w:pStyle w:val="6"/>
              <w:spacing w:before="257" w:line="276" w:lineRule="auto"/>
              <w:ind w:left="880" w:right="141" w:hanging="739"/>
            </w:pPr>
            <w:r>
              <w:rPr>
                <w:spacing w:val="1"/>
              </w:rPr>
              <w:t>包头市生态环境局石拐</w:t>
            </w:r>
            <w:r>
              <w:rPr>
                <w:spacing w:val="4"/>
              </w:rPr>
              <w:t xml:space="preserve"> </w:t>
            </w:r>
            <w:r>
              <w:rPr>
                <w:spacing w:val="6"/>
              </w:rPr>
              <w:t>区分局</w:t>
            </w:r>
          </w:p>
        </w:tc>
        <w:tc>
          <w:tcPr>
            <w:tcW w:w="1369" w:type="dxa"/>
            <w:vAlign w:val="top"/>
          </w:tcPr>
          <w:p w14:paraId="7E0441D7">
            <w:pPr>
              <w:pStyle w:val="6"/>
              <w:spacing w:before="257" w:line="315" w:lineRule="auto"/>
              <w:ind w:left="92" w:right="134" w:firstLine="440"/>
            </w:pPr>
            <w:r>
              <w:rPr>
                <w:spacing w:val="3"/>
              </w:rPr>
              <w:t>祁永旺</w:t>
            </w:r>
            <w:r>
              <w:t xml:space="preserve"> </w:t>
            </w:r>
            <w:r>
              <w:rPr>
                <w:spacing w:val="-3"/>
              </w:rPr>
              <w:t>13947285567</w:t>
            </w:r>
          </w:p>
        </w:tc>
        <w:tc>
          <w:tcPr>
            <w:tcW w:w="1329" w:type="dxa"/>
            <w:vAlign w:val="top"/>
          </w:tcPr>
          <w:p w14:paraId="5F4A55EF">
            <w:pPr>
              <w:spacing w:line="329" w:lineRule="auto"/>
              <w:rPr>
                <w:rFonts w:ascii="Arial"/>
                <w:sz w:val="21"/>
              </w:rPr>
            </w:pPr>
          </w:p>
          <w:p w14:paraId="220D1BC0">
            <w:pPr>
              <w:pStyle w:val="6"/>
              <w:spacing w:before="68" w:line="221" w:lineRule="auto"/>
              <w:ind w:left="443"/>
            </w:pPr>
            <w:r>
              <w:rPr>
                <w:spacing w:val="4"/>
              </w:rPr>
              <w:t>局长</w:t>
            </w:r>
          </w:p>
        </w:tc>
        <w:tc>
          <w:tcPr>
            <w:tcW w:w="3688" w:type="dxa"/>
            <w:vMerge w:val="continue"/>
            <w:tcBorders>
              <w:top w:val="nil"/>
            </w:tcBorders>
            <w:vAlign w:val="top"/>
          </w:tcPr>
          <w:p w14:paraId="396DA70E">
            <w:pPr>
              <w:rPr>
                <w:rFonts w:ascii="Arial"/>
                <w:sz w:val="21"/>
              </w:rPr>
            </w:pPr>
          </w:p>
        </w:tc>
        <w:tc>
          <w:tcPr>
            <w:tcW w:w="4172" w:type="dxa"/>
            <w:vMerge w:val="continue"/>
            <w:tcBorders>
              <w:top w:val="nil"/>
            </w:tcBorders>
            <w:vAlign w:val="top"/>
          </w:tcPr>
          <w:p w14:paraId="1C6E6493">
            <w:pPr>
              <w:rPr>
                <w:rFonts w:ascii="Arial"/>
                <w:sz w:val="21"/>
              </w:rPr>
            </w:pPr>
          </w:p>
        </w:tc>
      </w:tr>
    </w:tbl>
    <w:p w14:paraId="7E4CA470">
      <w:pPr>
        <w:rPr>
          <w:rFonts w:ascii="Arial"/>
          <w:sz w:val="21"/>
        </w:rPr>
      </w:pPr>
    </w:p>
    <w:p w14:paraId="464F9CBE">
      <w:pPr>
        <w:rPr>
          <w:rFonts w:ascii="Arial" w:hAnsi="Arial" w:eastAsia="Arial" w:cs="Arial"/>
          <w:sz w:val="21"/>
          <w:szCs w:val="21"/>
        </w:rPr>
        <w:sectPr>
          <w:footerReference r:id="rId15" w:type="default"/>
          <w:pgSz w:w="16850" w:h="11910"/>
          <w:pgMar w:top="1012" w:right="1474" w:bottom="1503" w:left="1405" w:header="0" w:footer="1341" w:gutter="0"/>
          <w:cols w:space="720" w:num="1"/>
        </w:sectPr>
      </w:pPr>
    </w:p>
    <w:p w14:paraId="1C13EA1F">
      <w:pPr>
        <w:spacing w:before="110"/>
      </w:pPr>
    </w:p>
    <w:p w14:paraId="3626DA8C">
      <w:pPr>
        <w:spacing w:before="109"/>
      </w:pPr>
    </w:p>
    <w:tbl>
      <w:tblPr>
        <w:tblStyle w:val="5"/>
        <w:tblW w:w="139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2409"/>
        <w:gridCol w:w="1369"/>
        <w:gridCol w:w="1329"/>
        <w:gridCol w:w="3667"/>
        <w:gridCol w:w="4172"/>
      </w:tblGrid>
      <w:tr w14:paraId="5FED0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94" w:type="dxa"/>
            <w:vMerge w:val="restart"/>
            <w:tcBorders>
              <w:bottom w:val="nil"/>
            </w:tcBorders>
            <w:vAlign w:val="top"/>
          </w:tcPr>
          <w:p w14:paraId="2C8FAF8D">
            <w:pPr>
              <w:spacing w:line="250" w:lineRule="auto"/>
              <w:rPr>
                <w:rFonts w:ascii="Arial"/>
                <w:sz w:val="21"/>
              </w:rPr>
            </w:pPr>
          </w:p>
          <w:p w14:paraId="120192CD">
            <w:pPr>
              <w:spacing w:line="250" w:lineRule="auto"/>
              <w:rPr>
                <w:rFonts w:ascii="Arial"/>
                <w:sz w:val="21"/>
              </w:rPr>
            </w:pPr>
          </w:p>
          <w:p w14:paraId="5CD03680">
            <w:pPr>
              <w:spacing w:line="251" w:lineRule="auto"/>
              <w:rPr>
                <w:rFonts w:ascii="Arial"/>
                <w:sz w:val="21"/>
              </w:rPr>
            </w:pPr>
          </w:p>
          <w:p w14:paraId="66FA2C5C">
            <w:pPr>
              <w:spacing w:line="251" w:lineRule="auto"/>
              <w:rPr>
                <w:rFonts w:ascii="Arial"/>
                <w:sz w:val="21"/>
              </w:rPr>
            </w:pPr>
          </w:p>
          <w:p w14:paraId="6DBD212F">
            <w:pPr>
              <w:spacing w:line="251" w:lineRule="auto"/>
              <w:rPr>
                <w:rFonts w:ascii="Arial"/>
                <w:sz w:val="21"/>
              </w:rPr>
            </w:pPr>
          </w:p>
          <w:p w14:paraId="17716A98">
            <w:pPr>
              <w:spacing w:line="251" w:lineRule="auto"/>
              <w:rPr>
                <w:rFonts w:ascii="Arial"/>
                <w:sz w:val="21"/>
              </w:rPr>
            </w:pPr>
          </w:p>
          <w:p w14:paraId="7F10D837">
            <w:pPr>
              <w:spacing w:line="251" w:lineRule="auto"/>
              <w:rPr>
                <w:rFonts w:ascii="Arial"/>
                <w:sz w:val="21"/>
              </w:rPr>
            </w:pPr>
          </w:p>
          <w:p w14:paraId="29051E2B">
            <w:pPr>
              <w:spacing w:line="251" w:lineRule="auto"/>
              <w:rPr>
                <w:rFonts w:ascii="Arial"/>
                <w:sz w:val="21"/>
              </w:rPr>
            </w:pPr>
          </w:p>
          <w:p w14:paraId="040CE1AD">
            <w:pPr>
              <w:spacing w:line="251" w:lineRule="auto"/>
              <w:rPr>
                <w:rFonts w:ascii="Arial"/>
                <w:sz w:val="21"/>
              </w:rPr>
            </w:pPr>
          </w:p>
          <w:p w14:paraId="089464D0">
            <w:pPr>
              <w:spacing w:line="251" w:lineRule="auto"/>
              <w:rPr>
                <w:rFonts w:ascii="Arial"/>
                <w:sz w:val="21"/>
              </w:rPr>
            </w:pPr>
          </w:p>
          <w:p w14:paraId="0CDFA487">
            <w:pPr>
              <w:spacing w:line="251" w:lineRule="auto"/>
              <w:rPr>
                <w:rFonts w:ascii="Arial"/>
                <w:sz w:val="21"/>
              </w:rPr>
            </w:pPr>
          </w:p>
          <w:p w14:paraId="2149D06A">
            <w:pPr>
              <w:spacing w:line="251" w:lineRule="auto"/>
              <w:rPr>
                <w:rFonts w:ascii="Arial"/>
                <w:sz w:val="21"/>
              </w:rPr>
            </w:pPr>
          </w:p>
          <w:p w14:paraId="4824A567">
            <w:pPr>
              <w:spacing w:line="251" w:lineRule="auto"/>
              <w:rPr>
                <w:rFonts w:ascii="Arial"/>
                <w:sz w:val="21"/>
              </w:rPr>
            </w:pPr>
          </w:p>
          <w:p w14:paraId="6E89F293">
            <w:pPr>
              <w:spacing w:line="251" w:lineRule="auto"/>
              <w:rPr>
                <w:rFonts w:ascii="Arial"/>
                <w:sz w:val="21"/>
              </w:rPr>
            </w:pPr>
          </w:p>
          <w:p w14:paraId="51E0B8FC">
            <w:pPr>
              <w:spacing w:line="251" w:lineRule="auto"/>
              <w:rPr>
                <w:rFonts w:ascii="Arial"/>
                <w:sz w:val="21"/>
              </w:rPr>
            </w:pPr>
          </w:p>
          <w:p w14:paraId="4A0E8684">
            <w:pPr>
              <w:pStyle w:val="6"/>
              <w:spacing w:before="69" w:line="292" w:lineRule="auto"/>
              <w:ind w:left="174" w:right="189" w:firstLine="99"/>
            </w:pPr>
            <w:r>
              <w:rPr>
                <w:spacing w:val="-6"/>
              </w:rPr>
              <w:t>专</w:t>
            </w:r>
            <w:r>
              <w:rPr>
                <w:color w:val="405050"/>
                <w:spacing w:val="-6"/>
              </w:rPr>
              <w:t>项</w:t>
            </w:r>
            <w:r>
              <w:rPr>
                <w:color w:val="405050"/>
              </w:rPr>
              <w:t xml:space="preserve">  </w:t>
            </w:r>
            <w:r>
              <w:rPr>
                <w:spacing w:val="-4"/>
              </w:rPr>
              <w:t>工作组</w:t>
            </w:r>
          </w:p>
        </w:tc>
        <w:tc>
          <w:tcPr>
            <w:tcW w:w="2409" w:type="dxa"/>
            <w:vAlign w:val="top"/>
          </w:tcPr>
          <w:p w14:paraId="43EA4480">
            <w:pPr>
              <w:pStyle w:val="6"/>
              <w:spacing w:before="234" w:line="220" w:lineRule="auto"/>
              <w:ind w:left="460"/>
            </w:pPr>
            <w:bookmarkStart w:id="28" w:name="bookmark73"/>
            <w:bookmarkEnd w:id="28"/>
            <w:r>
              <w:rPr>
                <w:color w:val="304040"/>
                <w:spacing w:val="1"/>
              </w:rPr>
              <w:t>石拐区消防大队</w:t>
            </w:r>
          </w:p>
        </w:tc>
        <w:tc>
          <w:tcPr>
            <w:tcW w:w="1369" w:type="dxa"/>
            <w:vAlign w:val="top"/>
          </w:tcPr>
          <w:p w14:paraId="5C8D9491">
            <w:pPr>
              <w:pStyle w:val="6"/>
              <w:spacing w:before="74" w:line="220" w:lineRule="auto"/>
              <w:ind w:left="362"/>
            </w:pPr>
            <w:r>
              <w:rPr>
                <w:color w:val="405050"/>
                <w:spacing w:val="4"/>
              </w:rPr>
              <w:t>白晓飞</w:t>
            </w:r>
          </w:p>
          <w:p w14:paraId="52FB9DB7">
            <w:pPr>
              <w:pStyle w:val="6"/>
              <w:spacing w:before="109" w:line="193" w:lineRule="auto"/>
              <w:ind w:left="91"/>
            </w:pPr>
            <w:r>
              <w:rPr>
                <w:spacing w:val="-2"/>
              </w:rPr>
              <w:t>18747205353</w:t>
            </w:r>
          </w:p>
        </w:tc>
        <w:tc>
          <w:tcPr>
            <w:tcW w:w="1329" w:type="dxa"/>
            <w:vAlign w:val="top"/>
          </w:tcPr>
          <w:p w14:paraId="37D5ACF6">
            <w:pPr>
              <w:pStyle w:val="6"/>
              <w:spacing w:before="233" w:line="219" w:lineRule="auto"/>
              <w:ind w:left="343"/>
            </w:pPr>
            <w:r>
              <w:rPr>
                <w:spacing w:val="9"/>
              </w:rPr>
              <w:t>教导员</w:t>
            </w:r>
          </w:p>
        </w:tc>
        <w:tc>
          <w:tcPr>
            <w:tcW w:w="3667" w:type="dxa"/>
            <w:vMerge w:val="restart"/>
            <w:tcBorders>
              <w:bottom w:val="nil"/>
            </w:tcBorders>
            <w:vAlign w:val="top"/>
          </w:tcPr>
          <w:p w14:paraId="3B97B120">
            <w:pPr>
              <w:spacing w:line="303" w:lineRule="auto"/>
              <w:rPr>
                <w:rFonts w:ascii="Arial"/>
                <w:sz w:val="21"/>
              </w:rPr>
            </w:pPr>
          </w:p>
          <w:p w14:paraId="18B3949E">
            <w:pPr>
              <w:spacing w:line="303" w:lineRule="auto"/>
              <w:rPr>
                <w:rFonts w:ascii="Arial"/>
                <w:sz w:val="21"/>
              </w:rPr>
            </w:pPr>
          </w:p>
          <w:p w14:paraId="6C46EAE0">
            <w:pPr>
              <w:spacing w:line="303" w:lineRule="auto"/>
              <w:rPr>
                <w:rFonts w:ascii="Arial"/>
                <w:sz w:val="21"/>
              </w:rPr>
            </w:pPr>
          </w:p>
          <w:p w14:paraId="48FAEC1C">
            <w:pPr>
              <w:pStyle w:val="6"/>
              <w:spacing w:before="68" w:line="143" w:lineRule="exact"/>
              <w:ind w:left="1724"/>
            </w:pPr>
            <w:r>
              <w:rPr>
                <w:spacing w:val="-5"/>
                <w:w w:val="53"/>
                <w:position w:val="-3"/>
              </w:rPr>
              <w:t>—</w:t>
            </w:r>
            <w:r>
              <w:rPr>
                <w:position w:val="-3"/>
              </w:rPr>
              <w:t>—</w:t>
            </w:r>
          </w:p>
        </w:tc>
        <w:tc>
          <w:tcPr>
            <w:tcW w:w="4172" w:type="dxa"/>
            <w:vMerge w:val="restart"/>
            <w:tcBorders>
              <w:bottom w:val="nil"/>
            </w:tcBorders>
            <w:vAlign w:val="top"/>
          </w:tcPr>
          <w:p w14:paraId="1928F08C">
            <w:pPr>
              <w:pStyle w:val="6"/>
              <w:spacing w:before="61" w:line="218" w:lineRule="auto"/>
              <w:ind w:left="126"/>
            </w:pPr>
            <w:r>
              <w:t>消防：在处置火灾爆炸事故时，</w:t>
            </w:r>
            <w:r>
              <w:rPr>
                <w:color w:val="606060"/>
              </w:rPr>
              <w:t>防止消防水</w:t>
            </w:r>
          </w:p>
          <w:p w14:paraId="6DA6C1EA">
            <w:pPr>
              <w:pStyle w:val="6"/>
              <w:spacing w:before="54" w:line="219" w:lineRule="auto"/>
              <w:ind w:left="106"/>
            </w:pPr>
            <w:r>
              <w:rPr>
                <w:color w:val="405050"/>
              </w:rPr>
              <w:t>进入水源地及其连接水体。</w:t>
            </w:r>
          </w:p>
          <w:p w14:paraId="083A37CC">
            <w:pPr>
              <w:pStyle w:val="6"/>
              <w:spacing w:before="41" w:line="293" w:lineRule="auto"/>
              <w:ind w:left="106" w:right="65" w:firstLine="9"/>
            </w:pPr>
            <w:r>
              <w:rPr>
                <w:spacing w:val="-1"/>
              </w:rPr>
              <w:t>公安、司法：</w:t>
            </w:r>
            <w:r>
              <w:rPr>
                <w:color w:val="204040"/>
                <w:spacing w:val="-1"/>
              </w:rPr>
              <w:t>查处导致水源地突发环境事件</w:t>
            </w:r>
            <w:r>
              <w:rPr>
                <w:color w:val="204040"/>
                <w:spacing w:val="7"/>
              </w:rPr>
              <w:t xml:space="preserve"> </w:t>
            </w:r>
            <w:r>
              <w:t>的违法犯罪行为。</w:t>
            </w:r>
          </w:p>
        </w:tc>
      </w:tr>
      <w:tr w14:paraId="4FB36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94" w:type="dxa"/>
            <w:vMerge w:val="continue"/>
            <w:tcBorders>
              <w:top w:val="nil"/>
              <w:bottom w:val="nil"/>
            </w:tcBorders>
            <w:vAlign w:val="top"/>
          </w:tcPr>
          <w:p w14:paraId="6F49F4C3">
            <w:pPr>
              <w:rPr>
                <w:rFonts w:ascii="Arial"/>
                <w:sz w:val="21"/>
              </w:rPr>
            </w:pPr>
          </w:p>
        </w:tc>
        <w:tc>
          <w:tcPr>
            <w:tcW w:w="2409" w:type="dxa"/>
            <w:vAlign w:val="top"/>
          </w:tcPr>
          <w:p w14:paraId="07D46607">
            <w:pPr>
              <w:pStyle w:val="6"/>
              <w:spacing w:before="210" w:line="220" w:lineRule="auto"/>
              <w:ind w:left="460"/>
            </w:pPr>
            <w:r>
              <w:rPr>
                <w:spacing w:val="2"/>
              </w:rPr>
              <w:t>石拐区公安分局</w:t>
            </w:r>
          </w:p>
        </w:tc>
        <w:tc>
          <w:tcPr>
            <w:tcW w:w="1369" w:type="dxa"/>
            <w:vAlign w:val="top"/>
          </w:tcPr>
          <w:p w14:paraId="569CCF11">
            <w:pPr>
              <w:pStyle w:val="6"/>
              <w:spacing w:before="38" w:line="219" w:lineRule="auto"/>
              <w:ind w:left="362"/>
            </w:pPr>
            <w:r>
              <w:rPr>
                <w:spacing w:val="3"/>
              </w:rPr>
              <w:t>祁文青</w:t>
            </w:r>
          </w:p>
          <w:p w14:paraId="6F6A230D">
            <w:pPr>
              <w:pStyle w:val="6"/>
              <w:spacing w:before="102" w:line="201" w:lineRule="auto"/>
              <w:ind w:left="91"/>
            </w:pPr>
            <w:r>
              <w:rPr>
                <w:spacing w:val="-2"/>
              </w:rPr>
              <w:t>15848284999</w:t>
            </w:r>
          </w:p>
        </w:tc>
        <w:tc>
          <w:tcPr>
            <w:tcW w:w="1329" w:type="dxa"/>
            <w:vAlign w:val="top"/>
          </w:tcPr>
          <w:p w14:paraId="58DE7414">
            <w:pPr>
              <w:pStyle w:val="6"/>
              <w:spacing w:before="210" w:line="221" w:lineRule="auto"/>
              <w:ind w:left="442"/>
            </w:pPr>
            <w:r>
              <w:rPr>
                <w:spacing w:val="4"/>
              </w:rPr>
              <w:t>局长</w:t>
            </w:r>
          </w:p>
        </w:tc>
        <w:tc>
          <w:tcPr>
            <w:tcW w:w="3667" w:type="dxa"/>
            <w:vMerge w:val="continue"/>
            <w:tcBorders>
              <w:top w:val="nil"/>
              <w:bottom w:val="nil"/>
            </w:tcBorders>
            <w:vAlign w:val="top"/>
          </w:tcPr>
          <w:p w14:paraId="79CFD425">
            <w:pPr>
              <w:rPr>
                <w:rFonts w:ascii="Arial"/>
                <w:sz w:val="21"/>
              </w:rPr>
            </w:pPr>
          </w:p>
        </w:tc>
        <w:tc>
          <w:tcPr>
            <w:tcW w:w="4172" w:type="dxa"/>
            <w:vMerge w:val="continue"/>
            <w:tcBorders>
              <w:top w:val="nil"/>
              <w:bottom w:val="nil"/>
            </w:tcBorders>
            <w:vAlign w:val="top"/>
          </w:tcPr>
          <w:p w14:paraId="4B6D3A83">
            <w:pPr>
              <w:rPr>
                <w:rFonts w:ascii="Arial"/>
                <w:sz w:val="21"/>
              </w:rPr>
            </w:pPr>
          </w:p>
        </w:tc>
      </w:tr>
      <w:tr w14:paraId="368F1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6D2C57BE">
            <w:pPr>
              <w:rPr>
                <w:rFonts w:ascii="Arial"/>
                <w:sz w:val="21"/>
              </w:rPr>
            </w:pPr>
          </w:p>
        </w:tc>
        <w:tc>
          <w:tcPr>
            <w:tcW w:w="2409" w:type="dxa"/>
            <w:vAlign w:val="top"/>
          </w:tcPr>
          <w:p w14:paraId="3D689C0B">
            <w:pPr>
              <w:pStyle w:val="6"/>
              <w:spacing w:before="211" w:line="220" w:lineRule="auto"/>
              <w:ind w:left="560"/>
            </w:pPr>
            <w:r>
              <w:rPr>
                <w:spacing w:val="3"/>
              </w:rPr>
              <w:t>石拐区司法局</w:t>
            </w:r>
          </w:p>
        </w:tc>
        <w:tc>
          <w:tcPr>
            <w:tcW w:w="1369" w:type="dxa"/>
            <w:vAlign w:val="top"/>
          </w:tcPr>
          <w:p w14:paraId="5DA4AA73">
            <w:pPr>
              <w:pStyle w:val="6"/>
              <w:spacing w:before="50" w:line="219" w:lineRule="auto"/>
              <w:ind w:left="362"/>
            </w:pPr>
            <w:r>
              <w:rPr>
                <w:spacing w:val="7"/>
              </w:rPr>
              <w:t>刘晓明</w:t>
            </w:r>
          </w:p>
          <w:p w14:paraId="4E9C403D">
            <w:pPr>
              <w:pStyle w:val="6"/>
              <w:spacing w:before="91" w:line="191" w:lineRule="auto"/>
              <w:ind w:left="91"/>
            </w:pPr>
            <w:r>
              <w:rPr>
                <w:spacing w:val="-2"/>
              </w:rPr>
              <w:t>15848636822</w:t>
            </w:r>
          </w:p>
        </w:tc>
        <w:tc>
          <w:tcPr>
            <w:tcW w:w="1329" w:type="dxa"/>
            <w:vAlign w:val="top"/>
          </w:tcPr>
          <w:p w14:paraId="607A0E84">
            <w:pPr>
              <w:pStyle w:val="6"/>
              <w:spacing w:before="211" w:line="221" w:lineRule="auto"/>
              <w:ind w:left="442"/>
            </w:pPr>
            <w:r>
              <w:rPr>
                <w:spacing w:val="4"/>
              </w:rPr>
              <w:t>局长</w:t>
            </w:r>
          </w:p>
        </w:tc>
        <w:tc>
          <w:tcPr>
            <w:tcW w:w="3667" w:type="dxa"/>
            <w:vMerge w:val="continue"/>
            <w:tcBorders>
              <w:top w:val="nil"/>
            </w:tcBorders>
            <w:vAlign w:val="top"/>
          </w:tcPr>
          <w:p w14:paraId="773BDC5A">
            <w:pPr>
              <w:rPr>
                <w:rFonts w:ascii="Arial"/>
                <w:sz w:val="21"/>
              </w:rPr>
            </w:pPr>
          </w:p>
        </w:tc>
        <w:tc>
          <w:tcPr>
            <w:tcW w:w="4172" w:type="dxa"/>
            <w:vMerge w:val="continue"/>
            <w:tcBorders>
              <w:top w:val="nil"/>
            </w:tcBorders>
            <w:vAlign w:val="top"/>
          </w:tcPr>
          <w:p w14:paraId="0CCA62FE">
            <w:pPr>
              <w:rPr>
                <w:rFonts w:ascii="Arial"/>
                <w:sz w:val="21"/>
              </w:rPr>
            </w:pPr>
          </w:p>
        </w:tc>
      </w:tr>
      <w:tr w14:paraId="20E2B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94" w:type="dxa"/>
            <w:vMerge w:val="continue"/>
            <w:tcBorders>
              <w:top w:val="nil"/>
              <w:bottom w:val="nil"/>
            </w:tcBorders>
            <w:vAlign w:val="top"/>
          </w:tcPr>
          <w:p w14:paraId="276416A1">
            <w:pPr>
              <w:rPr>
                <w:rFonts w:ascii="Arial"/>
                <w:sz w:val="21"/>
              </w:rPr>
            </w:pPr>
          </w:p>
        </w:tc>
        <w:tc>
          <w:tcPr>
            <w:tcW w:w="2409" w:type="dxa"/>
            <w:vAlign w:val="top"/>
          </w:tcPr>
          <w:p w14:paraId="65969113">
            <w:pPr>
              <w:pStyle w:val="6"/>
              <w:spacing w:before="212" w:line="220" w:lineRule="auto"/>
              <w:ind w:left="560"/>
            </w:pPr>
            <w:r>
              <w:rPr>
                <w:spacing w:val="3"/>
              </w:rPr>
              <w:t>石拐区财政局</w:t>
            </w:r>
          </w:p>
        </w:tc>
        <w:tc>
          <w:tcPr>
            <w:tcW w:w="1369" w:type="dxa"/>
            <w:vAlign w:val="top"/>
          </w:tcPr>
          <w:p w14:paraId="5A13B4E6">
            <w:pPr>
              <w:pStyle w:val="6"/>
              <w:spacing w:before="61" w:line="219" w:lineRule="auto"/>
              <w:ind w:left="461"/>
            </w:pPr>
            <w:r>
              <w:rPr>
                <w:spacing w:val="4"/>
              </w:rPr>
              <w:t>肖峰</w:t>
            </w:r>
          </w:p>
          <w:p w14:paraId="54E1ED63">
            <w:pPr>
              <w:pStyle w:val="6"/>
              <w:spacing w:before="101" w:line="182" w:lineRule="auto"/>
              <w:ind w:left="91"/>
            </w:pPr>
            <w:r>
              <w:rPr>
                <w:spacing w:val="-2"/>
              </w:rPr>
              <w:t>13847283076</w:t>
            </w:r>
          </w:p>
        </w:tc>
        <w:tc>
          <w:tcPr>
            <w:tcW w:w="1329" w:type="dxa"/>
            <w:vAlign w:val="top"/>
          </w:tcPr>
          <w:p w14:paraId="514B680D">
            <w:pPr>
              <w:pStyle w:val="6"/>
              <w:spacing w:before="212" w:line="221" w:lineRule="auto"/>
              <w:ind w:left="442"/>
            </w:pPr>
            <w:r>
              <w:rPr>
                <w:spacing w:val="4"/>
              </w:rPr>
              <w:t>局长</w:t>
            </w:r>
          </w:p>
        </w:tc>
        <w:tc>
          <w:tcPr>
            <w:tcW w:w="3667" w:type="dxa"/>
            <w:vAlign w:val="top"/>
          </w:tcPr>
          <w:p w14:paraId="36A92063">
            <w:pPr>
              <w:pStyle w:val="6"/>
              <w:spacing w:before="41" w:line="254" w:lineRule="auto"/>
              <w:ind w:left="103" w:right="141" w:firstLine="40"/>
            </w:pPr>
            <w:r>
              <w:t>负责保障水源地突发环境事件应急管</w:t>
            </w:r>
            <w:r>
              <w:rPr>
                <w:spacing w:val="10"/>
              </w:rPr>
              <w:t xml:space="preserve"> </w:t>
            </w:r>
            <w:r>
              <w:rPr>
                <w:spacing w:val="-1"/>
              </w:rPr>
              <w:t>理工作经费。</w:t>
            </w:r>
          </w:p>
        </w:tc>
        <w:tc>
          <w:tcPr>
            <w:tcW w:w="4172" w:type="dxa"/>
            <w:vAlign w:val="top"/>
          </w:tcPr>
          <w:p w14:paraId="4B0F1F36">
            <w:pPr>
              <w:pStyle w:val="6"/>
              <w:spacing w:before="71" w:line="219" w:lineRule="auto"/>
              <w:ind w:left="126"/>
            </w:pPr>
            <w:r>
              <w:rPr>
                <w:color w:val="506060"/>
              </w:rPr>
              <w:t>负责保障水源地突发环境事件应急处置期</w:t>
            </w:r>
          </w:p>
          <w:p w14:paraId="75131F24">
            <w:pPr>
              <w:pStyle w:val="6"/>
              <w:spacing w:before="51" w:line="217" w:lineRule="auto"/>
              <w:ind w:left="106"/>
            </w:pPr>
            <w:r>
              <w:t>间的费用。</w:t>
            </w:r>
          </w:p>
        </w:tc>
      </w:tr>
      <w:tr w14:paraId="3264F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436E9300">
            <w:pPr>
              <w:rPr>
                <w:rFonts w:ascii="Arial"/>
                <w:sz w:val="21"/>
              </w:rPr>
            </w:pPr>
          </w:p>
        </w:tc>
        <w:tc>
          <w:tcPr>
            <w:tcW w:w="2409" w:type="dxa"/>
            <w:vAlign w:val="top"/>
          </w:tcPr>
          <w:p w14:paraId="3F9EC90F">
            <w:pPr>
              <w:pStyle w:val="6"/>
              <w:spacing w:before="213" w:line="220" w:lineRule="auto"/>
              <w:ind w:left="351"/>
            </w:pPr>
            <w:r>
              <w:rPr>
                <w:spacing w:val="2"/>
              </w:rPr>
              <w:t>石拐区自然资源局</w:t>
            </w:r>
          </w:p>
        </w:tc>
        <w:tc>
          <w:tcPr>
            <w:tcW w:w="1369" w:type="dxa"/>
            <w:vAlign w:val="top"/>
          </w:tcPr>
          <w:p w14:paraId="073C7AAF">
            <w:pPr>
              <w:pStyle w:val="6"/>
              <w:spacing w:before="62" w:line="219" w:lineRule="auto"/>
              <w:ind w:left="362"/>
            </w:pPr>
            <w:r>
              <w:rPr>
                <w:spacing w:val="-2"/>
              </w:rPr>
              <w:t>郝春光</w:t>
            </w:r>
          </w:p>
          <w:p w14:paraId="3393AA35">
            <w:pPr>
              <w:pStyle w:val="6"/>
              <w:spacing w:before="91" w:line="181" w:lineRule="auto"/>
              <w:ind w:left="91"/>
            </w:pPr>
            <w:r>
              <w:rPr>
                <w:spacing w:val="-2"/>
              </w:rPr>
              <w:t>18686111113</w:t>
            </w:r>
          </w:p>
        </w:tc>
        <w:tc>
          <w:tcPr>
            <w:tcW w:w="1329" w:type="dxa"/>
            <w:vAlign w:val="top"/>
          </w:tcPr>
          <w:p w14:paraId="7F64EE3B">
            <w:pPr>
              <w:pStyle w:val="6"/>
              <w:spacing w:before="213" w:line="221" w:lineRule="auto"/>
              <w:ind w:left="442"/>
            </w:pPr>
            <w:r>
              <w:rPr>
                <w:spacing w:val="4"/>
              </w:rPr>
              <w:t>局长</w:t>
            </w:r>
          </w:p>
        </w:tc>
        <w:tc>
          <w:tcPr>
            <w:tcW w:w="3667" w:type="dxa"/>
            <w:vAlign w:val="top"/>
          </w:tcPr>
          <w:p w14:paraId="2A0B5763">
            <w:pPr>
              <w:pStyle w:val="6"/>
              <w:spacing w:before="62" w:line="219" w:lineRule="auto"/>
              <w:ind w:left="43"/>
            </w:pPr>
            <w:r>
              <w:rPr>
                <w:color w:val="304040"/>
                <w:spacing w:val="-1"/>
              </w:rPr>
              <w:t>规划、建设和管理适用于水源地突发环</w:t>
            </w:r>
          </w:p>
          <w:p w14:paraId="75919BC9">
            <w:pPr>
              <w:pStyle w:val="6"/>
              <w:spacing w:before="30" w:line="219" w:lineRule="auto"/>
              <w:ind w:left="84"/>
            </w:pPr>
            <w:r>
              <w:rPr>
                <w:spacing w:val="-1"/>
              </w:rPr>
              <w:t>境事件应急处置的场地。</w:t>
            </w:r>
          </w:p>
        </w:tc>
        <w:tc>
          <w:tcPr>
            <w:tcW w:w="4172" w:type="dxa"/>
            <w:vAlign w:val="top"/>
          </w:tcPr>
          <w:p w14:paraId="70432A4A">
            <w:pPr>
              <w:pStyle w:val="6"/>
              <w:spacing w:before="62" w:line="219" w:lineRule="auto"/>
              <w:ind w:left="126"/>
            </w:pPr>
            <w:r>
              <w:rPr>
                <w:color w:val="606070"/>
              </w:rPr>
              <w:t>负责保障水源地突发环境事件应急处置的</w:t>
            </w:r>
          </w:p>
          <w:p w14:paraId="42819D60">
            <w:pPr>
              <w:pStyle w:val="6"/>
              <w:spacing w:before="51" w:line="216" w:lineRule="auto"/>
              <w:ind w:left="106"/>
            </w:pPr>
            <w:r>
              <w:rPr>
                <w:spacing w:val="1"/>
              </w:rPr>
              <w:t>场地。</w:t>
            </w:r>
          </w:p>
        </w:tc>
      </w:tr>
      <w:tr w14:paraId="6EC70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994" w:type="dxa"/>
            <w:vMerge w:val="continue"/>
            <w:tcBorders>
              <w:top w:val="nil"/>
              <w:bottom w:val="nil"/>
            </w:tcBorders>
            <w:vAlign w:val="top"/>
          </w:tcPr>
          <w:p w14:paraId="41E3898F">
            <w:pPr>
              <w:rPr>
                <w:rFonts w:ascii="Arial"/>
                <w:sz w:val="21"/>
              </w:rPr>
            </w:pPr>
          </w:p>
        </w:tc>
        <w:tc>
          <w:tcPr>
            <w:tcW w:w="2409" w:type="dxa"/>
            <w:vAlign w:val="top"/>
          </w:tcPr>
          <w:p w14:paraId="144AF22F">
            <w:pPr>
              <w:pStyle w:val="6"/>
              <w:spacing w:before="203" w:line="219" w:lineRule="auto"/>
              <w:ind w:left="140"/>
            </w:pPr>
            <w:r>
              <w:rPr>
                <w:color w:val="405050"/>
                <w:spacing w:val="1"/>
              </w:rPr>
              <w:t>包头市生态环境局石拐</w:t>
            </w:r>
          </w:p>
          <w:p w14:paraId="38160C67">
            <w:pPr>
              <w:pStyle w:val="6"/>
              <w:spacing w:before="71" w:line="220" w:lineRule="auto"/>
              <w:ind w:left="880"/>
            </w:pPr>
            <w:r>
              <w:rPr>
                <w:spacing w:val="6"/>
              </w:rPr>
              <w:t>区分局</w:t>
            </w:r>
          </w:p>
        </w:tc>
        <w:tc>
          <w:tcPr>
            <w:tcW w:w="1369" w:type="dxa"/>
            <w:vAlign w:val="top"/>
          </w:tcPr>
          <w:p w14:paraId="11E90E12">
            <w:pPr>
              <w:pStyle w:val="6"/>
              <w:spacing w:before="213" w:line="219" w:lineRule="auto"/>
              <w:ind w:left="362"/>
            </w:pPr>
            <w:r>
              <w:rPr>
                <w:spacing w:val="-2"/>
              </w:rPr>
              <w:t>姬东英</w:t>
            </w:r>
          </w:p>
          <w:p w14:paraId="4149A830">
            <w:pPr>
              <w:pStyle w:val="6"/>
              <w:spacing w:before="101"/>
              <w:ind w:left="91"/>
            </w:pPr>
            <w:r>
              <w:rPr>
                <w:color w:val="405050"/>
                <w:spacing w:val="-2"/>
              </w:rPr>
              <w:t>15547254454</w:t>
            </w:r>
          </w:p>
        </w:tc>
        <w:tc>
          <w:tcPr>
            <w:tcW w:w="1329" w:type="dxa"/>
            <w:vAlign w:val="top"/>
          </w:tcPr>
          <w:p w14:paraId="14DC1D18">
            <w:pPr>
              <w:spacing w:line="303" w:lineRule="auto"/>
              <w:rPr>
                <w:rFonts w:ascii="Arial"/>
                <w:sz w:val="21"/>
              </w:rPr>
            </w:pPr>
          </w:p>
          <w:p w14:paraId="04C015F7">
            <w:pPr>
              <w:pStyle w:val="6"/>
              <w:spacing w:before="68" w:line="219" w:lineRule="auto"/>
              <w:ind w:left="343"/>
            </w:pPr>
            <w:r>
              <w:rPr>
                <w:spacing w:val="3"/>
              </w:rPr>
              <w:t>副局长</w:t>
            </w:r>
          </w:p>
        </w:tc>
        <w:tc>
          <w:tcPr>
            <w:tcW w:w="3667" w:type="dxa"/>
            <w:vAlign w:val="top"/>
          </w:tcPr>
          <w:p w14:paraId="26FB61CC">
            <w:pPr>
              <w:pStyle w:val="6"/>
              <w:spacing w:before="63" w:line="219" w:lineRule="auto"/>
              <w:ind w:left="43"/>
            </w:pPr>
            <w:r>
              <w:t>负责水源地日常监测，及时上报并通报</w:t>
            </w:r>
          </w:p>
          <w:p w14:paraId="20FD19BD">
            <w:pPr>
              <w:pStyle w:val="6"/>
              <w:spacing w:before="60" w:line="219" w:lineRule="auto"/>
              <w:ind w:left="43"/>
            </w:pPr>
            <w:r>
              <w:rPr>
                <w:color w:val="405050"/>
              </w:rPr>
              <w:t>水源地水质异常信息</w:t>
            </w:r>
            <w:r>
              <w:rPr>
                <w:color w:val="506060"/>
              </w:rPr>
              <w:t>。开展水源地污染</w:t>
            </w:r>
          </w:p>
          <w:p w14:paraId="165827D4">
            <w:pPr>
              <w:pStyle w:val="6"/>
              <w:spacing w:before="70" w:line="216" w:lineRule="auto"/>
              <w:ind w:left="114"/>
            </w:pPr>
            <w:r>
              <w:rPr>
                <w:spacing w:val="-1"/>
              </w:rPr>
              <w:t>防治的日常监督和管理。</w:t>
            </w:r>
          </w:p>
        </w:tc>
        <w:tc>
          <w:tcPr>
            <w:tcW w:w="4172" w:type="dxa"/>
            <w:vAlign w:val="top"/>
          </w:tcPr>
          <w:p w14:paraId="01D7BA06">
            <w:pPr>
              <w:pStyle w:val="6"/>
              <w:spacing w:before="43" w:line="275" w:lineRule="auto"/>
              <w:ind w:left="106" w:right="46" w:firstLine="9"/>
            </w:pPr>
            <w:r>
              <w:t>负责应急监测，</w:t>
            </w:r>
            <w:r>
              <w:rPr>
                <w:color w:val="305050"/>
              </w:rPr>
              <w:t>督促、指导有关部门和单位</w:t>
            </w:r>
            <w:r>
              <w:rPr>
                <w:color w:val="305050"/>
                <w:spacing w:val="7"/>
              </w:rPr>
              <w:t xml:space="preserve"> </w:t>
            </w:r>
            <w:r>
              <w:rPr>
                <w:color w:val="406060"/>
              </w:rPr>
              <w:t>开展水源地污染物削减处置等工作。</w:t>
            </w:r>
          </w:p>
        </w:tc>
      </w:tr>
      <w:tr w14:paraId="7D8B3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7452E93F">
            <w:pPr>
              <w:rPr>
                <w:rFonts w:ascii="Arial"/>
                <w:sz w:val="21"/>
              </w:rPr>
            </w:pPr>
          </w:p>
        </w:tc>
        <w:tc>
          <w:tcPr>
            <w:tcW w:w="2409" w:type="dxa"/>
            <w:vAlign w:val="top"/>
          </w:tcPr>
          <w:p w14:paraId="3AAF8F0C">
            <w:pPr>
              <w:pStyle w:val="6"/>
              <w:spacing w:before="215" w:line="220" w:lineRule="auto"/>
              <w:ind w:left="560"/>
            </w:pPr>
            <w:r>
              <w:rPr>
                <w:color w:val="405050"/>
                <w:spacing w:val="3"/>
              </w:rPr>
              <w:t>石拐区住建局</w:t>
            </w:r>
          </w:p>
        </w:tc>
        <w:tc>
          <w:tcPr>
            <w:tcW w:w="1369" w:type="dxa"/>
            <w:vAlign w:val="top"/>
          </w:tcPr>
          <w:p w14:paraId="2006AA41">
            <w:pPr>
              <w:pStyle w:val="6"/>
              <w:spacing w:before="37" w:line="222" w:lineRule="auto"/>
              <w:ind w:left="461"/>
            </w:pPr>
            <w:r>
              <w:rPr>
                <w:spacing w:val="7"/>
              </w:rPr>
              <w:t>庞宏</w:t>
            </w:r>
          </w:p>
          <w:p w14:paraId="6AB735D4">
            <w:pPr>
              <w:pStyle w:val="6"/>
              <w:spacing w:before="104" w:line="188" w:lineRule="auto"/>
              <w:ind w:left="91"/>
            </w:pPr>
            <w:r>
              <w:rPr>
                <w:spacing w:val="-2"/>
              </w:rPr>
              <w:t>13848229100</w:t>
            </w:r>
          </w:p>
        </w:tc>
        <w:tc>
          <w:tcPr>
            <w:tcW w:w="1329" w:type="dxa"/>
            <w:vAlign w:val="top"/>
          </w:tcPr>
          <w:p w14:paraId="4ECAD48B">
            <w:pPr>
              <w:pStyle w:val="6"/>
              <w:spacing w:before="214" w:line="219" w:lineRule="auto"/>
              <w:ind w:left="343"/>
            </w:pPr>
            <w:r>
              <w:rPr>
                <w:spacing w:val="3"/>
              </w:rPr>
              <w:t>副局长</w:t>
            </w:r>
          </w:p>
        </w:tc>
        <w:tc>
          <w:tcPr>
            <w:tcW w:w="3667" w:type="dxa"/>
            <w:vMerge w:val="restart"/>
            <w:tcBorders>
              <w:bottom w:val="nil"/>
            </w:tcBorders>
            <w:vAlign w:val="top"/>
          </w:tcPr>
          <w:p w14:paraId="28524FD4">
            <w:pPr>
              <w:pStyle w:val="6"/>
              <w:spacing w:before="52" w:line="273" w:lineRule="auto"/>
              <w:ind w:left="43" w:right="34" w:firstLine="149"/>
            </w:pPr>
            <w:r>
              <w:rPr>
                <w:spacing w:val="1"/>
              </w:rPr>
              <w:t>住房城乡建设或水务(供水单位):负</w:t>
            </w:r>
            <w:r>
              <w:rPr>
                <w:spacing w:val="4"/>
              </w:rPr>
              <w:t xml:space="preserve">  </w:t>
            </w:r>
            <w:r>
              <w:t>责供水单位日常管理工作，对供水单位</w:t>
            </w:r>
            <w:r>
              <w:rPr>
                <w:spacing w:val="7"/>
              </w:rPr>
              <w:t xml:space="preserve"> </w:t>
            </w:r>
            <w:r>
              <w:rPr>
                <w:color w:val="405050"/>
                <w:spacing w:val="-1"/>
              </w:rPr>
              <w:t>水质异常现象进行调查处理，</w:t>
            </w:r>
            <w:r>
              <w:rPr>
                <w:spacing w:val="-1"/>
              </w:rPr>
              <w:t>及时上报</w:t>
            </w:r>
          </w:p>
          <w:p w14:paraId="1B22EE3B">
            <w:pPr>
              <w:pStyle w:val="6"/>
              <w:spacing w:line="218" w:lineRule="auto"/>
              <w:ind w:left="103"/>
            </w:pPr>
            <w:r>
              <w:rPr>
                <w:color w:val="506060"/>
                <w:spacing w:val="-1"/>
              </w:rPr>
              <w:t>并通报供水单位水质异常信息。</w:t>
            </w:r>
          </w:p>
        </w:tc>
        <w:tc>
          <w:tcPr>
            <w:tcW w:w="4172" w:type="dxa"/>
            <w:vMerge w:val="restart"/>
            <w:tcBorders>
              <w:bottom w:val="nil"/>
            </w:tcBorders>
            <w:vAlign w:val="top"/>
          </w:tcPr>
          <w:p w14:paraId="002104B0">
            <w:pPr>
              <w:pStyle w:val="6"/>
              <w:spacing w:before="33" w:line="219" w:lineRule="auto"/>
              <w:ind w:left="106"/>
            </w:pPr>
            <w:r>
              <w:rPr>
                <w:color w:val="304040"/>
                <w:spacing w:val="-1"/>
              </w:rPr>
              <w:t>负责指导供水单位的应急处置工作，</w:t>
            </w:r>
            <w:r>
              <w:rPr>
                <w:color w:val="304030"/>
                <w:spacing w:val="-1"/>
              </w:rPr>
              <w:t>组织供</w:t>
            </w:r>
          </w:p>
          <w:p w14:paraId="7EE0A24D">
            <w:pPr>
              <w:pStyle w:val="6"/>
              <w:spacing w:before="61" w:line="266" w:lineRule="auto"/>
              <w:ind w:left="106" w:right="59" w:hanging="10"/>
            </w:pPr>
            <w:r>
              <w:t>水单位进行应急监测，落实停止取水、和切</w:t>
            </w:r>
            <w:r>
              <w:rPr>
                <w:spacing w:val="14"/>
              </w:rPr>
              <w:t xml:space="preserve"> </w:t>
            </w:r>
            <w:r>
              <w:t>换备用水源等应急工作安排。</w:t>
            </w:r>
          </w:p>
        </w:tc>
      </w:tr>
      <w:tr w14:paraId="00537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10B1C731">
            <w:pPr>
              <w:rPr>
                <w:rFonts w:ascii="Arial"/>
                <w:sz w:val="21"/>
              </w:rPr>
            </w:pPr>
          </w:p>
        </w:tc>
        <w:tc>
          <w:tcPr>
            <w:tcW w:w="2409" w:type="dxa"/>
            <w:vAlign w:val="top"/>
          </w:tcPr>
          <w:p w14:paraId="16522FEA">
            <w:pPr>
              <w:pStyle w:val="6"/>
              <w:spacing w:before="216" w:line="220" w:lineRule="auto"/>
              <w:ind w:left="560"/>
            </w:pPr>
            <w:r>
              <w:rPr>
                <w:spacing w:val="3"/>
              </w:rPr>
              <w:t>石拐区民政局</w:t>
            </w:r>
          </w:p>
        </w:tc>
        <w:tc>
          <w:tcPr>
            <w:tcW w:w="1369" w:type="dxa"/>
            <w:vAlign w:val="top"/>
          </w:tcPr>
          <w:p w14:paraId="41B6DFC9">
            <w:pPr>
              <w:pStyle w:val="6"/>
              <w:spacing w:before="65" w:line="219" w:lineRule="auto"/>
              <w:ind w:left="362"/>
            </w:pPr>
            <w:r>
              <w:rPr>
                <w:spacing w:val="6"/>
              </w:rPr>
              <w:t>王旭东</w:t>
            </w:r>
          </w:p>
          <w:p w14:paraId="0D833AD4">
            <w:pPr>
              <w:pStyle w:val="6"/>
              <w:spacing w:before="81" w:line="187" w:lineRule="auto"/>
              <w:ind w:left="91"/>
            </w:pPr>
            <w:r>
              <w:rPr>
                <w:spacing w:val="-2"/>
              </w:rPr>
              <w:t>13847276557</w:t>
            </w:r>
          </w:p>
        </w:tc>
        <w:tc>
          <w:tcPr>
            <w:tcW w:w="1329" w:type="dxa"/>
            <w:vAlign w:val="top"/>
          </w:tcPr>
          <w:p w14:paraId="221DF229">
            <w:pPr>
              <w:pStyle w:val="6"/>
              <w:spacing w:before="216" w:line="221" w:lineRule="auto"/>
              <w:ind w:left="442"/>
            </w:pPr>
            <w:r>
              <w:rPr>
                <w:spacing w:val="4"/>
              </w:rPr>
              <w:t>局长</w:t>
            </w:r>
          </w:p>
        </w:tc>
        <w:tc>
          <w:tcPr>
            <w:tcW w:w="3667" w:type="dxa"/>
            <w:vMerge w:val="continue"/>
            <w:tcBorders>
              <w:top w:val="nil"/>
            </w:tcBorders>
            <w:vAlign w:val="top"/>
          </w:tcPr>
          <w:p w14:paraId="137BC33A">
            <w:pPr>
              <w:rPr>
                <w:rFonts w:ascii="Arial"/>
                <w:sz w:val="21"/>
              </w:rPr>
            </w:pPr>
          </w:p>
        </w:tc>
        <w:tc>
          <w:tcPr>
            <w:tcW w:w="4172" w:type="dxa"/>
            <w:vMerge w:val="continue"/>
            <w:tcBorders>
              <w:top w:val="nil"/>
            </w:tcBorders>
            <w:vAlign w:val="top"/>
          </w:tcPr>
          <w:p w14:paraId="38F0735D">
            <w:pPr>
              <w:rPr>
                <w:rFonts w:ascii="Arial"/>
                <w:sz w:val="21"/>
              </w:rPr>
            </w:pPr>
          </w:p>
        </w:tc>
      </w:tr>
      <w:tr w14:paraId="01D47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994" w:type="dxa"/>
            <w:vMerge w:val="continue"/>
            <w:tcBorders>
              <w:top w:val="nil"/>
              <w:bottom w:val="nil"/>
            </w:tcBorders>
            <w:vAlign w:val="top"/>
          </w:tcPr>
          <w:p w14:paraId="4CD87EAC">
            <w:pPr>
              <w:rPr>
                <w:rFonts w:ascii="Arial"/>
                <w:sz w:val="21"/>
              </w:rPr>
            </w:pPr>
          </w:p>
        </w:tc>
        <w:tc>
          <w:tcPr>
            <w:tcW w:w="2409" w:type="dxa"/>
            <w:vMerge w:val="restart"/>
            <w:tcBorders>
              <w:bottom w:val="nil"/>
            </w:tcBorders>
            <w:vAlign w:val="top"/>
          </w:tcPr>
          <w:p w14:paraId="1673D0E8">
            <w:pPr>
              <w:spacing w:line="250" w:lineRule="auto"/>
              <w:rPr>
                <w:rFonts w:ascii="Arial"/>
                <w:sz w:val="21"/>
              </w:rPr>
            </w:pPr>
          </w:p>
          <w:p w14:paraId="56EEC502">
            <w:pPr>
              <w:spacing w:line="250" w:lineRule="auto"/>
              <w:rPr>
                <w:rFonts w:ascii="Arial"/>
                <w:sz w:val="21"/>
              </w:rPr>
            </w:pPr>
          </w:p>
          <w:p w14:paraId="24698D80">
            <w:pPr>
              <w:spacing w:line="250" w:lineRule="auto"/>
              <w:rPr>
                <w:rFonts w:ascii="Arial"/>
                <w:sz w:val="21"/>
              </w:rPr>
            </w:pPr>
          </w:p>
          <w:p w14:paraId="2486E346">
            <w:pPr>
              <w:spacing w:line="250" w:lineRule="auto"/>
              <w:rPr>
                <w:rFonts w:ascii="Arial"/>
                <w:sz w:val="21"/>
              </w:rPr>
            </w:pPr>
          </w:p>
          <w:p w14:paraId="669A4053">
            <w:pPr>
              <w:spacing w:line="250" w:lineRule="auto"/>
              <w:rPr>
                <w:rFonts w:ascii="Arial"/>
                <w:sz w:val="21"/>
              </w:rPr>
            </w:pPr>
          </w:p>
          <w:p w14:paraId="031B694A">
            <w:pPr>
              <w:pStyle w:val="6"/>
              <w:spacing w:before="69" w:line="219" w:lineRule="auto"/>
              <w:ind w:left="560"/>
            </w:pPr>
            <w:r>
              <w:rPr>
                <w:color w:val="304040"/>
                <w:spacing w:val="3"/>
              </w:rPr>
              <w:t>石拐区农牧局</w:t>
            </w:r>
          </w:p>
        </w:tc>
        <w:tc>
          <w:tcPr>
            <w:tcW w:w="1369" w:type="dxa"/>
            <w:vAlign w:val="top"/>
          </w:tcPr>
          <w:p w14:paraId="68319EF3">
            <w:pPr>
              <w:spacing w:line="296" w:lineRule="auto"/>
              <w:rPr>
                <w:rFonts w:ascii="Arial"/>
                <w:sz w:val="21"/>
              </w:rPr>
            </w:pPr>
          </w:p>
          <w:p w14:paraId="44FB7F86">
            <w:pPr>
              <w:pStyle w:val="6"/>
              <w:spacing w:before="68" w:line="219" w:lineRule="auto"/>
              <w:ind w:left="461"/>
            </w:pPr>
            <w:r>
              <w:rPr>
                <w:spacing w:val="-3"/>
              </w:rPr>
              <w:t>董凯</w:t>
            </w:r>
          </w:p>
          <w:p w14:paraId="255CD4DC">
            <w:pPr>
              <w:pStyle w:val="6"/>
              <w:spacing w:before="111"/>
              <w:ind w:left="91"/>
            </w:pPr>
            <w:r>
              <w:rPr>
                <w:spacing w:val="-2"/>
              </w:rPr>
              <w:t>13614722348</w:t>
            </w:r>
          </w:p>
        </w:tc>
        <w:tc>
          <w:tcPr>
            <w:tcW w:w="1329" w:type="dxa"/>
            <w:vAlign w:val="top"/>
          </w:tcPr>
          <w:p w14:paraId="5C77C877">
            <w:pPr>
              <w:spacing w:line="455" w:lineRule="auto"/>
              <w:rPr>
                <w:rFonts w:ascii="Arial"/>
                <w:sz w:val="21"/>
              </w:rPr>
            </w:pPr>
          </w:p>
          <w:p w14:paraId="188F8B70">
            <w:pPr>
              <w:pStyle w:val="6"/>
              <w:spacing w:before="68" w:line="219" w:lineRule="auto"/>
              <w:ind w:left="343"/>
            </w:pPr>
            <w:r>
              <w:rPr>
                <w:spacing w:val="3"/>
              </w:rPr>
              <w:t>副局长</w:t>
            </w:r>
          </w:p>
        </w:tc>
        <w:tc>
          <w:tcPr>
            <w:tcW w:w="3667" w:type="dxa"/>
            <w:vAlign w:val="top"/>
          </w:tcPr>
          <w:p w14:paraId="6CC9BF15">
            <w:pPr>
              <w:pStyle w:val="6"/>
              <w:spacing w:before="65" w:line="266" w:lineRule="auto"/>
              <w:ind w:left="143" w:right="34" w:hanging="100"/>
            </w:pPr>
            <w:r>
              <w:rPr>
                <w:color w:val="404050"/>
              </w:rPr>
              <w:t>交通运输：</w:t>
            </w:r>
            <w:r>
              <w:rPr>
                <w:color w:val="405050"/>
              </w:rPr>
              <w:t>负责危险化学品运输车辆跨</w:t>
            </w:r>
            <w:r>
              <w:rPr>
                <w:color w:val="405050"/>
                <w:spacing w:val="7"/>
              </w:rPr>
              <w:t xml:space="preserve"> </w:t>
            </w:r>
            <w:r>
              <w:rPr>
                <w:color w:val="404050"/>
                <w:spacing w:val="-1"/>
              </w:rPr>
              <w:t>越水源保护区道路桥梁的日常应急管</w:t>
            </w:r>
          </w:p>
          <w:p w14:paraId="37F5E430">
            <w:pPr>
              <w:pStyle w:val="6"/>
              <w:spacing w:before="15" w:line="243" w:lineRule="auto"/>
              <w:ind w:left="83" w:right="33" w:hanging="40"/>
            </w:pPr>
            <w:r>
              <w:rPr>
                <w:spacing w:val="-11"/>
              </w:rPr>
              <w:t>理</w:t>
            </w:r>
            <w:r>
              <w:rPr>
                <w:spacing w:val="-27"/>
              </w:rPr>
              <w:t xml:space="preserve"> </w:t>
            </w:r>
            <w:r>
              <w:rPr>
                <w:spacing w:val="-11"/>
              </w:rPr>
              <w:t>工</w:t>
            </w:r>
            <w:r>
              <w:rPr>
                <w:spacing w:val="-42"/>
              </w:rPr>
              <w:t xml:space="preserve"> </w:t>
            </w:r>
            <w:r>
              <w:rPr>
                <w:spacing w:val="-11"/>
              </w:rPr>
              <w:t>作</w:t>
            </w:r>
            <w:r>
              <w:rPr>
                <w:spacing w:val="-51"/>
              </w:rPr>
              <w:t xml:space="preserve"> </w:t>
            </w:r>
            <w:r>
              <w:rPr>
                <w:spacing w:val="-11"/>
              </w:rPr>
              <w:t>，</w:t>
            </w:r>
            <w:r>
              <w:rPr>
                <w:color w:val="304040"/>
                <w:spacing w:val="-11"/>
              </w:rPr>
              <w:t>建设维护道路桥梁应急工程设</w:t>
            </w:r>
            <w:r>
              <w:rPr>
                <w:color w:val="304040"/>
              </w:rPr>
              <w:t xml:space="preserve"> </w:t>
            </w:r>
            <w:r>
              <w:rPr>
                <w:spacing w:val="-2"/>
              </w:rPr>
              <w:t>施。</w:t>
            </w:r>
          </w:p>
        </w:tc>
        <w:tc>
          <w:tcPr>
            <w:tcW w:w="4172" w:type="dxa"/>
            <w:vAlign w:val="top"/>
          </w:tcPr>
          <w:p w14:paraId="41F823D7">
            <w:pPr>
              <w:pStyle w:val="6"/>
              <w:spacing w:before="46" w:line="219" w:lineRule="auto"/>
              <w:ind w:left="106"/>
            </w:pPr>
            <w:r>
              <w:rPr>
                <w:color w:val="405050"/>
                <w:spacing w:val="-1"/>
              </w:rPr>
              <w:t>协助处置交通事故次生的水源地突发环境</w:t>
            </w:r>
          </w:p>
          <w:p w14:paraId="73C5C6A3">
            <w:pPr>
              <w:pStyle w:val="6"/>
              <w:spacing w:before="59" w:line="259" w:lineRule="auto"/>
              <w:ind w:left="96" w:right="63" w:firstLine="20"/>
              <w:jc w:val="both"/>
            </w:pPr>
            <w:r>
              <w:rPr>
                <w:spacing w:val="-10"/>
              </w:rPr>
              <w:t>事 件</w:t>
            </w:r>
            <w:r>
              <w:rPr>
                <w:spacing w:val="-20"/>
              </w:rPr>
              <w:t xml:space="preserve"> </w:t>
            </w:r>
            <w:r>
              <w:rPr>
                <w:spacing w:val="-10"/>
              </w:rPr>
              <w:t>，</w:t>
            </w:r>
            <w:r>
              <w:rPr>
                <w:color w:val="304040"/>
                <w:spacing w:val="-10"/>
              </w:rPr>
              <w:t>事故发生后及时启用道路桥梁应急工</w:t>
            </w:r>
            <w:r>
              <w:rPr>
                <w:color w:val="304040"/>
              </w:rPr>
              <w:t xml:space="preserve"> </w:t>
            </w:r>
            <w:r>
              <w:rPr>
                <w:spacing w:val="-9"/>
              </w:rPr>
              <w:t>程</w:t>
            </w:r>
            <w:r>
              <w:rPr>
                <w:spacing w:val="-41"/>
              </w:rPr>
              <w:t xml:space="preserve"> </w:t>
            </w:r>
            <w:r>
              <w:rPr>
                <w:spacing w:val="-9"/>
              </w:rPr>
              <w:t>设</w:t>
            </w:r>
            <w:r>
              <w:rPr>
                <w:spacing w:val="-44"/>
              </w:rPr>
              <w:t xml:space="preserve"> </w:t>
            </w:r>
            <w:r>
              <w:rPr>
                <w:spacing w:val="-9"/>
              </w:rPr>
              <w:t>施</w:t>
            </w:r>
            <w:r>
              <w:rPr>
                <w:spacing w:val="-52"/>
              </w:rPr>
              <w:t xml:space="preserve"> </w:t>
            </w:r>
            <w:r>
              <w:rPr>
                <w:spacing w:val="-9"/>
              </w:rPr>
              <w:t>，</w:t>
            </w:r>
            <w:r>
              <w:rPr>
                <w:color w:val="506060"/>
                <w:spacing w:val="-9"/>
              </w:rPr>
              <w:t>并负责保障应急物资运输车辆快速</w:t>
            </w:r>
            <w:r>
              <w:rPr>
                <w:color w:val="506060"/>
              </w:rPr>
              <w:t xml:space="preserve"> </w:t>
            </w:r>
            <w:r>
              <w:rPr>
                <w:spacing w:val="5"/>
              </w:rPr>
              <w:t>通行。</w:t>
            </w:r>
          </w:p>
        </w:tc>
      </w:tr>
      <w:tr w14:paraId="3E4CC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94" w:type="dxa"/>
            <w:vMerge w:val="continue"/>
            <w:tcBorders>
              <w:top w:val="nil"/>
              <w:bottom w:val="nil"/>
            </w:tcBorders>
            <w:vAlign w:val="top"/>
          </w:tcPr>
          <w:p w14:paraId="5A17BABE">
            <w:pPr>
              <w:rPr>
                <w:rFonts w:ascii="Arial"/>
                <w:sz w:val="21"/>
              </w:rPr>
            </w:pPr>
          </w:p>
        </w:tc>
        <w:tc>
          <w:tcPr>
            <w:tcW w:w="2409" w:type="dxa"/>
            <w:vMerge w:val="continue"/>
            <w:tcBorders>
              <w:top w:val="nil"/>
              <w:bottom w:val="nil"/>
            </w:tcBorders>
            <w:vAlign w:val="top"/>
          </w:tcPr>
          <w:p w14:paraId="7868C689">
            <w:pPr>
              <w:rPr>
                <w:rFonts w:ascii="Arial"/>
                <w:sz w:val="21"/>
              </w:rPr>
            </w:pPr>
          </w:p>
        </w:tc>
        <w:tc>
          <w:tcPr>
            <w:tcW w:w="1369" w:type="dxa"/>
            <w:vMerge w:val="restart"/>
            <w:tcBorders>
              <w:bottom w:val="nil"/>
            </w:tcBorders>
            <w:vAlign w:val="top"/>
          </w:tcPr>
          <w:p w14:paraId="7D1EA6E9">
            <w:pPr>
              <w:spacing w:line="466" w:lineRule="auto"/>
              <w:rPr>
                <w:rFonts w:ascii="Arial"/>
                <w:sz w:val="21"/>
              </w:rPr>
            </w:pPr>
          </w:p>
          <w:p w14:paraId="653D7D60">
            <w:pPr>
              <w:pStyle w:val="6"/>
              <w:spacing w:before="68" w:line="219" w:lineRule="auto"/>
              <w:ind w:left="362"/>
            </w:pPr>
            <w:r>
              <w:rPr>
                <w:spacing w:val="2"/>
              </w:rPr>
              <w:t>贾严迪</w:t>
            </w:r>
          </w:p>
          <w:p w14:paraId="4B44064A">
            <w:pPr>
              <w:pStyle w:val="6"/>
              <w:spacing w:before="111"/>
              <w:ind w:left="91"/>
            </w:pPr>
            <w:r>
              <w:rPr>
                <w:spacing w:val="-2"/>
              </w:rPr>
              <w:t>15147280006</w:t>
            </w:r>
          </w:p>
        </w:tc>
        <w:tc>
          <w:tcPr>
            <w:tcW w:w="1329" w:type="dxa"/>
            <w:vMerge w:val="restart"/>
            <w:tcBorders>
              <w:bottom w:val="nil"/>
            </w:tcBorders>
            <w:vAlign w:val="top"/>
          </w:tcPr>
          <w:p w14:paraId="03B3B807">
            <w:pPr>
              <w:spacing w:line="312" w:lineRule="auto"/>
              <w:rPr>
                <w:rFonts w:ascii="Arial"/>
                <w:sz w:val="21"/>
              </w:rPr>
            </w:pPr>
          </w:p>
          <w:p w14:paraId="71F435BD">
            <w:pPr>
              <w:spacing w:line="313" w:lineRule="auto"/>
              <w:rPr>
                <w:rFonts w:ascii="Arial"/>
                <w:sz w:val="21"/>
              </w:rPr>
            </w:pPr>
          </w:p>
          <w:p w14:paraId="30E136EE">
            <w:pPr>
              <w:pStyle w:val="6"/>
              <w:spacing w:before="68" w:line="219" w:lineRule="auto"/>
              <w:ind w:left="343"/>
            </w:pPr>
            <w:r>
              <w:rPr>
                <w:spacing w:val="3"/>
              </w:rPr>
              <w:t>副局长</w:t>
            </w:r>
          </w:p>
        </w:tc>
        <w:tc>
          <w:tcPr>
            <w:tcW w:w="3667" w:type="dxa"/>
            <w:vAlign w:val="top"/>
          </w:tcPr>
          <w:p w14:paraId="6E82546A">
            <w:pPr>
              <w:pStyle w:val="6"/>
              <w:spacing w:before="77" w:line="238" w:lineRule="auto"/>
              <w:ind w:left="72" w:right="25" w:hanging="29"/>
            </w:pPr>
            <w:r>
              <w:rPr>
                <w:spacing w:val="-10"/>
              </w:rPr>
              <w:t>水 利</w:t>
            </w:r>
            <w:r>
              <w:rPr>
                <w:spacing w:val="-14"/>
              </w:rPr>
              <w:t xml:space="preserve"> </w:t>
            </w:r>
            <w:r>
              <w:rPr>
                <w:spacing w:val="-10"/>
              </w:rPr>
              <w:t>：</w:t>
            </w:r>
            <w:r>
              <w:rPr>
                <w:color w:val="304040"/>
                <w:spacing w:val="-10"/>
              </w:rPr>
              <w:t>负责指导水源地水利设施建设和</w:t>
            </w:r>
            <w:r>
              <w:rPr>
                <w:color w:val="304040"/>
              </w:rPr>
              <w:t xml:space="preserve"> </w:t>
            </w:r>
            <w:r>
              <w:rPr>
                <w:spacing w:val="-2"/>
              </w:rPr>
              <w:t>管理。</w:t>
            </w:r>
          </w:p>
        </w:tc>
        <w:tc>
          <w:tcPr>
            <w:tcW w:w="4172" w:type="dxa"/>
            <w:vAlign w:val="top"/>
          </w:tcPr>
          <w:p w14:paraId="2E4C7BDC">
            <w:pPr>
              <w:pStyle w:val="6"/>
              <w:spacing w:before="36" w:line="256" w:lineRule="auto"/>
              <w:ind w:left="106" w:right="64" w:hanging="10"/>
            </w:pPr>
            <w:r>
              <w:t>按照应急指挥部要求，利用水利工程进行污</w:t>
            </w:r>
            <w:r>
              <w:rPr>
                <w:spacing w:val="9"/>
              </w:rPr>
              <w:t xml:space="preserve"> </w:t>
            </w:r>
            <w:r>
              <w:t>染团拦截、降污或调水稀释等工作。</w:t>
            </w:r>
          </w:p>
        </w:tc>
      </w:tr>
      <w:tr w14:paraId="5AED2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994" w:type="dxa"/>
            <w:vMerge w:val="continue"/>
            <w:tcBorders>
              <w:top w:val="nil"/>
            </w:tcBorders>
            <w:vAlign w:val="top"/>
          </w:tcPr>
          <w:p w14:paraId="4C8DEDF1">
            <w:pPr>
              <w:rPr>
                <w:rFonts w:ascii="Arial"/>
                <w:sz w:val="21"/>
              </w:rPr>
            </w:pPr>
          </w:p>
        </w:tc>
        <w:tc>
          <w:tcPr>
            <w:tcW w:w="2409" w:type="dxa"/>
            <w:vMerge w:val="continue"/>
            <w:tcBorders>
              <w:top w:val="nil"/>
            </w:tcBorders>
            <w:vAlign w:val="top"/>
          </w:tcPr>
          <w:p w14:paraId="37BB1E19">
            <w:pPr>
              <w:rPr>
                <w:rFonts w:ascii="Arial"/>
                <w:sz w:val="21"/>
              </w:rPr>
            </w:pPr>
          </w:p>
        </w:tc>
        <w:tc>
          <w:tcPr>
            <w:tcW w:w="1369" w:type="dxa"/>
            <w:vMerge w:val="continue"/>
            <w:tcBorders>
              <w:top w:val="nil"/>
            </w:tcBorders>
            <w:vAlign w:val="top"/>
          </w:tcPr>
          <w:p w14:paraId="3FC1A578">
            <w:pPr>
              <w:rPr>
                <w:rFonts w:ascii="Arial"/>
                <w:sz w:val="21"/>
              </w:rPr>
            </w:pPr>
          </w:p>
        </w:tc>
        <w:tc>
          <w:tcPr>
            <w:tcW w:w="1329" w:type="dxa"/>
            <w:vMerge w:val="continue"/>
            <w:tcBorders>
              <w:top w:val="nil"/>
            </w:tcBorders>
            <w:vAlign w:val="top"/>
          </w:tcPr>
          <w:p w14:paraId="3703CBD0">
            <w:pPr>
              <w:rPr>
                <w:rFonts w:ascii="Arial"/>
                <w:sz w:val="21"/>
              </w:rPr>
            </w:pPr>
          </w:p>
        </w:tc>
        <w:tc>
          <w:tcPr>
            <w:tcW w:w="3667" w:type="dxa"/>
            <w:vAlign w:val="top"/>
          </w:tcPr>
          <w:p w14:paraId="3E488E30">
            <w:pPr>
              <w:pStyle w:val="6"/>
              <w:spacing w:before="36" w:line="263" w:lineRule="auto"/>
              <w:ind w:left="43" w:right="34"/>
              <w:jc w:val="both"/>
            </w:pPr>
            <w:r>
              <w:rPr>
                <w:spacing w:val="-10"/>
              </w:rPr>
              <w:t>农 业</w:t>
            </w:r>
            <w:r>
              <w:rPr>
                <w:spacing w:val="-23"/>
              </w:rPr>
              <w:t xml:space="preserve"> </w:t>
            </w:r>
            <w:r>
              <w:rPr>
                <w:spacing w:val="-10"/>
              </w:rPr>
              <w:t>：</w:t>
            </w:r>
            <w:r>
              <w:rPr>
                <w:color w:val="405060"/>
                <w:spacing w:val="-10"/>
              </w:rPr>
              <w:t>管理暴雨期间入河农灌退水排放</w:t>
            </w:r>
            <w:r>
              <w:rPr>
                <w:color w:val="405060"/>
              </w:rPr>
              <w:t xml:space="preserve"> </w:t>
            </w:r>
            <w:r>
              <w:t>行为，防范农业面源导致的水源地突发</w:t>
            </w:r>
            <w:r>
              <w:rPr>
                <w:spacing w:val="7"/>
              </w:rPr>
              <w:t xml:space="preserve"> </w:t>
            </w:r>
            <w:r>
              <w:rPr>
                <w:spacing w:val="9"/>
              </w:rPr>
              <w:t>环境事件。</w:t>
            </w:r>
          </w:p>
        </w:tc>
        <w:tc>
          <w:tcPr>
            <w:tcW w:w="4172" w:type="dxa"/>
            <w:vAlign w:val="top"/>
          </w:tcPr>
          <w:p w14:paraId="59F6644F">
            <w:pPr>
              <w:pStyle w:val="6"/>
              <w:spacing w:before="48" w:line="219" w:lineRule="auto"/>
              <w:ind w:left="96"/>
            </w:pPr>
            <w:r>
              <w:rPr>
                <w:spacing w:val="-1"/>
              </w:rPr>
              <w:t>协助处置因农业面源、渔业养殖导致的水源</w:t>
            </w:r>
          </w:p>
          <w:p w14:paraId="24572603">
            <w:pPr>
              <w:pStyle w:val="6"/>
              <w:spacing w:before="60" w:line="219" w:lineRule="auto"/>
              <w:ind w:left="106"/>
            </w:pPr>
            <w:r>
              <w:rPr>
                <w:color w:val="404040"/>
                <w:spacing w:val="-1"/>
              </w:rPr>
              <w:t>地突发环境事件。对具有农灌功能的水源</w:t>
            </w:r>
          </w:p>
          <w:p w14:paraId="7B548730">
            <w:pPr>
              <w:pStyle w:val="6"/>
              <w:spacing w:before="100" w:line="198" w:lineRule="auto"/>
              <w:ind w:left="106"/>
            </w:pPr>
            <w:r>
              <w:t>地，在应急期间暂停农灌取水。</w:t>
            </w:r>
          </w:p>
        </w:tc>
      </w:tr>
    </w:tbl>
    <w:p w14:paraId="2AB9835A">
      <w:pPr>
        <w:rPr>
          <w:rFonts w:ascii="Arial"/>
          <w:sz w:val="21"/>
        </w:rPr>
      </w:pPr>
    </w:p>
    <w:p w14:paraId="1F65351E">
      <w:pPr>
        <w:rPr>
          <w:rFonts w:ascii="Arial" w:hAnsi="Arial" w:eastAsia="Arial" w:cs="Arial"/>
          <w:sz w:val="21"/>
          <w:szCs w:val="21"/>
        </w:rPr>
        <w:sectPr>
          <w:footerReference r:id="rId16" w:type="default"/>
          <w:pgSz w:w="16850" w:h="11910"/>
          <w:pgMar w:top="1012" w:right="1644" w:bottom="1449" w:left="1255" w:header="0" w:footer="1308" w:gutter="0"/>
          <w:cols w:space="720" w:num="1"/>
        </w:sectPr>
      </w:pPr>
    </w:p>
    <w:p w14:paraId="2A0FC177">
      <w:pPr>
        <w:spacing w:before="80"/>
      </w:pPr>
    </w:p>
    <w:p w14:paraId="2B2F35E9">
      <w:pPr>
        <w:spacing w:before="79"/>
      </w:pPr>
    </w:p>
    <w:tbl>
      <w:tblPr>
        <w:tblStyle w:val="5"/>
        <w:tblW w:w="139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2398"/>
        <w:gridCol w:w="1379"/>
        <w:gridCol w:w="1329"/>
        <w:gridCol w:w="3677"/>
        <w:gridCol w:w="4172"/>
      </w:tblGrid>
      <w:tr w14:paraId="5C38F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994" w:type="dxa"/>
            <w:vMerge w:val="restart"/>
            <w:tcBorders>
              <w:bottom w:val="nil"/>
            </w:tcBorders>
            <w:vAlign w:val="top"/>
          </w:tcPr>
          <w:p w14:paraId="597D3F0A">
            <w:pPr>
              <w:spacing w:line="248" w:lineRule="auto"/>
              <w:rPr>
                <w:rFonts w:ascii="Arial"/>
                <w:sz w:val="21"/>
              </w:rPr>
            </w:pPr>
          </w:p>
          <w:p w14:paraId="1E3364C8">
            <w:pPr>
              <w:spacing w:line="248" w:lineRule="auto"/>
              <w:rPr>
                <w:rFonts w:ascii="Arial"/>
                <w:sz w:val="21"/>
              </w:rPr>
            </w:pPr>
          </w:p>
          <w:p w14:paraId="00EC5F2E">
            <w:pPr>
              <w:spacing w:line="249" w:lineRule="auto"/>
              <w:rPr>
                <w:rFonts w:ascii="Arial"/>
                <w:sz w:val="21"/>
              </w:rPr>
            </w:pPr>
          </w:p>
          <w:p w14:paraId="19C4F672">
            <w:pPr>
              <w:spacing w:line="249" w:lineRule="auto"/>
              <w:rPr>
                <w:rFonts w:ascii="Arial"/>
                <w:sz w:val="21"/>
              </w:rPr>
            </w:pPr>
          </w:p>
          <w:p w14:paraId="106054CE">
            <w:pPr>
              <w:spacing w:line="249" w:lineRule="auto"/>
              <w:rPr>
                <w:rFonts w:ascii="Arial"/>
                <w:sz w:val="21"/>
              </w:rPr>
            </w:pPr>
          </w:p>
          <w:p w14:paraId="1D106313">
            <w:pPr>
              <w:spacing w:line="249" w:lineRule="auto"/>
              <w:rPr>
                <w:rFonts w:ascii="Arial"/>
                <w:sz w:val="21"/>
              </w:rPr>
            </w:pPr>
          </w:p>
          <w:p w14:paraId="1493E65C">
            <w:pPr>
              <w:spacing w:line="249" w:lineRule="auto"/>
              <w:rPr>
                <w:rFonts w:ascii="Arial"/>
                <w:sz w:val="21"/>
              </w:rPr>
            </w:pPr>
          </w:p>
          <w:p w14:paraId="02B61BA7">
            <w:pPr>
              <w:spacing w:line="249" w:lineRule="auto"/>
              <w:rPr>
                <w:rFonts w:ascii="Arial"/>
                <w:sz w:val="21"/>
              </w:rPr>
            </w:pPr>
          </w:p>
          <w:p w14:paraId="40B0874E">
            <w:pPr>
              <w:spacing w:line="249" w:lineRule="auto"/>
              <w:rPr>
                <w:rFonts w:ascii="Arial"/>
                <w:sz w:val="21"/>
              </w:rPr>
            </w:pPr>
          </w:p>
          <w:p w14:paraId="44E7C9FF">
            <w:pPr>
              <w:spacing w:line="249" w:lineRule="auto"/>
              <w:rPr>
                <w:rFonts w:ascii="Arial"/>
                <w:sz w:val="21"/>
              </w:rPr>
            </w:pPr>
          </w:p>
          <w:p w14:paraId="1BF012E0">
            <w:pPr>
              <w:spacing w:line="249" w:lineRule="auto"/>
              <w:rPr>
                <w:rFonts w:ascii="Arial"/>
                <w:sz w:val="21"/>
              </w:rPr>
            </w:pPr>
          </w:p>
          <w:p w14:paraId="2535355F">
            <w:pPr>
              <w:spacing w:line="249" w:lineRule="auto"/>
              <w:rPr>
                <w:rFonts w:ascii="Arial"/>
                <w:sz w:val="21"/>
              </w:rPr>
            </w:pPr>
          </w:p>
          <w:p w14:paraId="42527F51">
            <w:pPr>
              <w:spacing w:line="249" w:lineRule="auto"/>
              <w:rPr>
                <w:rFonts w:ascii="Arial"/>
                <w:sz w:val="21"/>
              </w:rPr>
            </w:pPr>
          </w:p>
          <w:p w14:paraId="11FD2CBE">
            <w:pPr>
              <w:spacing w:line="249" w:lineRule="auto"/>
              <w:rPr>
                <w:rFonts w:ascii="Arial"/>
                <w:sz w:val="21"/>
              </w:rPr>
            </w:pPr>
          </w:p>
          <w:p w14:paraId="0EA2078A">
            <w:pPr>
              <w:spacing w:line="249" w:lineRule="auto"/>
              <w:rPr>
                <w:rFonts w:ascii="Arial"/>
                <w:sz w:val="21"/>
              </w:rPr>
            </w:pPr>
          </w:p>
          <w:p w14:paraId="5022F279">
            <w:pPr>
              <w:pStyle w:val="6"/>
              <w:spacing w:before="69" w:line="301" w:lineRule="auto"/>
              <w:ind w:left="174" w:right="189" w:firstLine="99"/>
            </w:pPr>
            <w:r>
              <w:rPr>
                <w:spacing w:val="-6"/>
              </w:rPr>
              <w:t>专</w:t>
            </w:r>
            <w:r>
              <w:rPr>
                <w:color w:val="304040"/>
                <w:spacing w:val="-6"/>
              </w:rPr>
              <w:t>项</w:t>
            </w:r>
            <w:r>
              <w:rPr>
                <w:color w:val="304040"/>
              </w:rPr>
              <w:t xml:space="preserve">  </w:t>
            </w:r>
            <w:r>
              <w:rPr>
                <w:spacing w:val="-4"/>
              </w:rPr>
              <w:t>工作组</w:t>
            </w:r>
          </w:p>
        </w:tc>
        <w:tc>
          <w:tcPr>
            <w:tcW w:w="2398" w:type="dxa"/>
            <w:vAlign w:val="top"/>
          </w:tcPr>
          <w:p w14:paraId="28C115DF">
            <w:pPr>
              <w:spacing w:line="284" w:lineRule="auto"/>
              <w:rPr>
                <w:rFonts w:ascii="Arial"/>
                <w:sz w:val="21"/>
              </w:rPr>
            </w:pPr>
          </w:p>
          <w:p w14:paraId="6C697E96">
            <w:pPr>
              <w:pStyle w:val="6"/>
              <w:spacing w:before="68" w:line="220" w:lineRule="auto"/>
              <w:ind w:left="560"/>
            </w:pPr>
            <w:bookmarkStart w:id="29" w:name="bookmark74"/>
            <w:bookmarkEnd w:id="29"/>
            <w:r>
              <w:rPr>
                <w:spacing w:val="-2"/>
              </w:rPr>
              <w:t>石拐区卫健委</w:t>
            </w:r>
          </w:p>
        </w:tc>
        <w:tc>
          <w:tcPr>
            <w:tcW w:w="1379" w:type="dxa"/>
            <w:vAlign w:val="top"/>
          </w:tcPr>
          <w:p w14:paraId="51273C45">
            <w:pPr>
              <w:pStyle w:val="6"/>
              <w:spacing w:before="203" w:line="219" w:lineRule="auto"/>
              <w:ind w:left="472"/>
            </w:pPr>
            <w:r>
              <w:rPr>
                <w:spacing w:val="4"/>
              </w:rPr>
              <w:t>张敏</w:t>
            </w:r>
          </w:p>
          <w:p w14:paraId="6F961B55">
            <w:pPr>
              <w:pStyle w:val="6"/>
              <w:spacing w:before="121"/>
              <w:ind w:left="102"/>
            </w:pPr>
            <w:r>
              <w:rPr>
                <w:spacing w:val="-2"/>
              </w:rPr>
              <w:t>15540286280</w:t>
            </w:r>
          </w:p>
        </w:tc>
        <w:tc>
          <w:tcPr>
            <w:tcW w:w="1329" w:type="dxa"/>
            <w:vAlign w:val="top"/>
          </w:tcPr>
          <w:p w14:paraId="6CC4C534">
            <w:pPr>
              <w:spacing w:line="283" w:lineRule="auto"/>
              <w:rPr>
                <w:rFonts w:ascii="Arial"/>
                <w:sz w:val="21"/>
              </w:rPr>
            </w:pPr>
          </w:p>
          <w:p w14:paraId="517D27C9">
            <w:pPr>
              <w:pStyle w:val="6"/>
              <w:spacing w:before="69" w:line="219" w:lineRule="auto"/>
              <w:ind w:left="443"/>
            </w:pPr>
            <w:r>
              <w:rPr>
                <w:spacing w:val="-3"/>
              </w:rPr>
              <w:t>主任</w:t>
            </w:r>
          </w:p>
        </w:tc>
        <w:tc>
          <w:tcPr>
            <w:tcW w:w="3677" w:type="dxa"/>
            <w:vAlign w:val="top"/>
          </w:tcPr>
          <w:p w14:paraId="4AE37D9D">
            <w:pPr>
              <w:pStyle w:val="6"/>
              <w:spacing w:before="54" w:line="249" w:lineRule="auto"/>
              <w:ind w:left="44" w:right="59"/>
              <w:jc w:val="both"/>
            </w:pPr>
            <w:r>
              <w:rPr>
                <w:spacing w:val="-1"/>
              </w:rPr>
              <w:t>卫生：负责自来水管网末梢水水质卫生</w:t>
            </w:r>
            <w:r>
              <w:rPr>
                <w:spacing w:val="6"/>
              </w:rPr>
              <w:t xml:space="preserve"> </w:t>
            </w:r>
            <w:r>
              <w:rPr>
                <w:spacing w:val="-15"/>
              </w:rPr>
              <w:t>日</w:t>
            </w:r>
            <w:r>
              <w:rPr>
                <w:spacing w:val="-30"/>
              </w:rPr>
              <w:t xml:space="preserve"> </w:t>
            </w:r>
            <w:r>
              <w:rPr>
                <w:spacing w:val="-15"/>
              </w:rPr>
              <w:t>常</w:t>
            </w:r>
            <w:r>
              <w:rPr>
                <w:spacing w:val="-43"/>
              </w:rPr>
              <w:t xml:space="preserve"> </w:t>
            </w:r>
            <w:r>
              <w:rPr>
                <w:spacing w:val="-15"/>
              </w:rPr>
              <w:t>管</w:t>
            </w:r>
            <w:r>
              <w:rPr>
                <w:spacing w:val="-45"/>
              </w:rPr>
              <w:t xml:space="preserve"> </w:t>
            </w:r>
            <w:r>
              <w:rPr>
                <w:spacing w:val="-15"/>
              </w:rPr>
              <w:t>理</w:t>
            </w:r>
            <w:r>
              <w:rPr>
                <w:spacing w:val="-56"/>
              </w:rPr>
              <w:t xml:space="preserve"> </w:t>
            </w:r>
            <w:r>
              <w:rPr>
                <w:spacing w:val="-15"/>
              </w:rPr>
              <w:t>，</w:t>
            </w:r>
            <w:r>
              <w:rPr>
                <w:color w:val="304040"/>
                <w:spacing w:val="-15"/>
              </w:rPr>
              <w:t>及时上报并通报管网末梢水</w:t>
            </w:r>
            <w:r>
              <w:rPr>
                <w:color w:val="304040"/>
              </w:rPr>
              <w:t xml:space="preserve"> </w:t>
            </w:r>
            <w:r>
              <w:rPr>
                <w:spacing w:val="12"/>
              </w:rPr>
              <w:t>水质异常信息。</w:t>
            </w:r>
          </w:p>
        </w:tc>
        <w:tc>
          <w:tcPr>
            <w:tcW w:w="4172" w:type="dxa"/>
            <w:vAlign w:val="top"/>
          </w:tcPr>
          <w:p w14:paraId="103A028A">
            <w:pPr>
              <w:pStyle w:val="6"/>
              <w:spacing w:before="42" w:line="275" w:lineRule="auto"/>
              <w:ind w:left="127" w:right="30"/>
            </w:pPr>
            <w:r>
              <w:t>负责管网末梢水水质应急监测，确保应急期</w:t>
            </w:r>
            <w:r>
              <w:rPr>
                <w:spacing w:val="12"/>
              </w:rPr>
              <w:t xml:space="preserve"> </w:t>
            </w:r>
            <w:r>
              <w:rPr>
                <w:spacing w:val="-1"/>
              </w:rPr>
              <w:t>间居民饮水卫生安全。</w:t>
            </w:r>
          </w:p>
        </w:tc>
      </w:tr>
      <w:tr w14:paraId="37547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994" w:type="dxa"/>
            <w:vMerge w:val="continue"/>
            <w:tcBorders>
              <w:top w:val="nil"/>
              <w:bottom w:val="nil"/>
            </w:tcBorders>
            <w:vAlign w:val="top"/>
          </w:tcPr>
          <w:p w14:paraId="4487002D">
            <w:pPr>
              <w:rPr>
                <w:rFonts w:ascii="Arial"/>
                <w:sz w:val="21"/>
              </w:rPr>
            </w:pPr>
          </w:p>
        </w:tc>
        <w:tc>
          <w:tcPr>
            <w:tcW w:w="2398" w:type="dxa"/>
            <w:vAlign w:val="top"/>
          </w:tcPr>
          <w:p w14:paraId="12A60BC3">
            <w:pPr>
              <w:spacing w:line="309" w:lineRule="auto"/>
              <w:rPr>
                <w:rFonts w:ascii="Arial"/>
                <w:sz w:val="21"/>
              </w:rPr>
            </w:pPr>
          </w:p>
          <w:p w14:paraId="4BB8F2A1">
            <w:pPr>
              <w:pStyle w:val="6"/>
              <w:spacing w:before="68" w:line="219" w:lineRule="auto"/>
              <w:ind w:left="350"/>
            </w:pPr>
            <w:r>
              <w:rPr>
                <w:spacing w:val="2"/>
              </w:rPr>
              <w:t>石拐区应急管理局</w:t>
            </w:r>
          </w:p>
        </w:tc>
        <w:tc>
          <w:tcPr>
            <w:tcW w:w="1379" w:type="dxa"/>
            <w:vAlign w:val="top"/>
          </w:tcPr>
          <w:p w14:paraId="565CF30B">
            <w:pPr>
              <w:pStyle w:val="6"/>
              <w:spacing w:before="239" w:line="219" w:lineRule="auto"/>
              <w:ind w:left="362"/>
            </w:pPr>
            <w:r>
              <w:rPr>
                <w:spacing w:val="7"/>
              </w:rPr>
              <w:t>李新明</w:t>
            </w:r>
          </w:p>
          <w:p w14:paraId="6E0D482D">
            <w:pPr>
              <w:pStyle w:val="6"/>
              <w:spacing w:before="101"/>
              <w:ind w:left="102"/>
            </w:pPr>
            <w:r>
              <w:rPr>
                <w:spacing w:val="-2"/>
              </w:rPr>
              <w:t>13847259566</w:t>
            </w:r>
          </w:p>
        </w:tc>
        <w:tc>
          <w:tcPr>
            <w:tcW w:w="1329" w:type="dxa"/>
            <w:vAlign w:val="top"/>
          </w:tcPr>
          <w:p w14:paraId="520792F8">
            <w:pPr>
              <w:spacing w:line="310" w:lineRule="auto"/>
              <w:rPr>
                <w:rFonts w:ascii="Arial"/>
                <w:sz w:val="21"/>
              </w:rPr>
            </w:pPr>
          </w:p>
          <w:p w14:paraId="730996DF">
            <w:pPr>
              <w:pStyle w:val="6"/>
              <w:spacing w:before="68" w:line="221" w:lineRule="auto"/>
              <w:ind w:left="443"/>
            </w:pPr>
            <w:r>
              <w:rPr>
                <w:spacing w:val="4"/>
              </w:rPr>
              <w:t>局长</w:t>
            </w:r>
          </w:p>
        </w:tc>
        <w:tc>
          <w:tcPr>
            <w:tcW w:w="3677" w:type="dxa"/>
            <w:vAlign w:val="top"/>
          </w:tcPr>
          <w:p w14:paraId="7313CA00">
            <w:pPr>
              <w:pStyle w:val="6"/>
              <w:spacing w:before="68" w:line="261" w:lineRule="auto"/>
              <w:ind w:left="44" w:right="42"/>
              <w:jc w:val="both"/>
            </w:pPr>
            <w:r>
              <w:t>安全生产监管：防范企业生产安全事故</w:t>
            </w:r>
            <w:r>
              <w:rPr>
                <w:spacing w:val="8"/>
              </w:rPr>
              <w:t xml:space="preserve"> </w:t>
            </w:r>
            <w:r>
              <w:t>次生水源地突发环境事件，及时上报并</w:t>
            </w:r>
            <w:r>
              <w:rPr>
                <w:spacing w:val="8"/>
              </w:rPr>
              <w:t xml:space="preserve"> </w:t>
            </w:r>
            <w:r>
              <w:rPr>
                <w:spacing w:val="9"/>
              </w:rPr>
              <w:t>通报事故信息。</w:t>
            </w:r>
          </w:p>
        </w:tc>
        <w:tc>
          <w:tcPr>
            <w:tcW w:w="4172" w:type="dxa"/>
            <w:vAlign w:val="top"/>
          </w:tcPr>
          <w:p w14:paraId="24C1F2DB">
            <w:pPr>
              <w:pStyle w:val="6"/>
              <w:spacing w:before="59" w:line="219" w:lineRule="auto"/>
              <w:ind w:left="127"/>
            </w:pPr>
            <w:r>
              <w:rPr>
                <w:color w:val="405040"/>
                <w:spacing w:val="-1"/>
              </w:rPr>
              <w:t>协助处置因企业生产安全事故、违法排污等</w:t>
            </w:r>
          </w:p>
          <w:p w14:paraId="6E56699F">
            <w:pPr>
              <w:pStyle w:val="6"/>
              <w:spacing w:before="70" w:line="219" w:lineRule="auto"/>
              <w:ind w:left="137"/>
            </w:pPr>
            <w:r>
              <w:rPr>
                <w:color w:val="204030"/>
                <w:spacing w:val="-1"/>
              </w:rPr>
              <w:t>导致的水源地突发环境事件。</w:t>
            </w:r>
          </w:p>
        </w:tc>
      </w:tr>
      <w:tr w14:paraId="0F663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42BCB350">
            <w:pPr>
              <w:rPr>
                <w:rFonts w:ascii="Arial"/>
                <w:sz w:val="21"/>
              </w:rPr>
            </w:pPr>
          </w:p>
        </w:tc>
        <w:tc>
          <w:tcPr>
            <w:tcW w:w="2398" w:type="dxa"/>
            <w:vAlign w:val="top"/>
          </w:tcPr>
          <w:p w14:paraId="7085B452">
            <w:pPr>
              <w:pStyle w:val="6"/>
              <w:spacing w:before="50" w:line="219" w:lineRule="auto"/>
              <w:ind w:left="140"/>
            </w:pPr>
            <w:r>
              <w:t>中国联合网络通信股份</w:t>
            </w:r>
          </w:p>
          <w:p w14:paraId="6B2BBE67">
            <w:pPr>
              <w:pStyle w:val="6"/>
              <w:spacing w:before="81" w:line="200" w:lineRule="auto"/>
              <w:ind w:left="240"/>
            </w:pPr>
            <w:r>
              <w:rPr>
                <w:color w:val="405060"/>
                <w:spacing w:val="3"/>
              </w:rPr>
              <w:t>有限公司石拐分公司</w:t>
            </w:r>
          </w:p>
        </w:tc>
        <w:tc>
          <w:tcPr>
            <w:tcW w:w="1379" w:type="dxa"/>
            <w:vAlign w:val="top"/>
          </w:tcPr>
          <w:p w14:paraId="01A8A735">
            <w:pPr>
              <w:pStyle w:val="6"/>
              <w:spacing w:before="51" w:line="221" w:lineRule="auto"/>
              <w:ind w:left="472"/>
            </w:pPr>
            <w:r>
              <w:rPr>
                <w:spacing w:val="6"/>
              </w:rPr>
              <w:t>刘钢</w:t>
            </w:r>
          </w:p>
          <w:p w14:paraId="6F9ACFA5">
            <w:pPr>
              <w:pStyle w:val="6"/>
              <w:spacing w:before="107" w:line="174" w:lineRule="auto"/>
              <w:ind w:left="102"/>
            </w:pPr>
            <w:r>
              <w:rPr>
                <w:spacing w:val="-2"/>
              </w:rPr>
              <w:t>18647213938</w:t>
            </w:r>
          </w:p>
        </w:tc>
        <w:tc>
          <w:tcPr>
            <w:tcW w:w="1329" w:type="dxa"/>
            <w:vAlign w:val="top"/>
          </w:tcPr>
          <w:p w14:paraId="423CDC87">
            <w:pPr>
              <w:pStyle w:val="6"/>
              <w:spacing w:before="222" w:line="229" w:lineRule="auto"/>
              <w:ind w:left="443"/>
            </w:pPr>
            <w:r>
              <w:rPr>
                <w:spacing w:val="-3"/>
              </w:rPr>
              <w:t>经理</w:t>
            </w:r>
          </w:p>
        </w:tc>
        <w:tc>
          <w:tcPr>
            <w:tcW w:w="3677" w:type="dxa"/>
            <w:vMerge w:val="restart"/>
            <w:tcBorders>
              <w:bottom w:val="nil"/>
            </w:tcBorders>
            <w:vAlign w:val="top"/>
          </w:tcPr>
          <w:p w14:paraId="34DBE43E">
            <w:pPr>
              <w:spacing w:line="284" w:lineRule="auto"/>
              <w:rPr>
                <w:rFonts w:ascii="Arial"/>
                <w:sz w:val="21"/>
              </w:rPr>
            </w:pPr>
          </w:p>
          <w:p w14:paraId="75904D85">
            <w:pPr>
              <w:spacing w:line="284" w:lineRule="auto"/>
              <w:rPr>
                <w:rFonts w:ascii="Arial"/>
                <w:sz w:val="21"/>
              </w:rPr>
            </w:pPr>
          </w:p>
          <w:p w14:paraId="0722AA38">
            <w:pPr>
              <w:pStyle w:val="6"/>
              <w:spacing w:before="68" w:line="143" w:lineRule="exact"/>
              <w:ind w:left="1724"/>
            </w:pPr>
            <w:r>
              <w:rPr>
                <w:spacing w:val="-5"/>
                <w:w w:val="53"/>
                <w:position w:val="-3"/>
              </w:rPr>
              <w:t>—</w:t>
            </w:r>
            <w:r>
              <w:rPr>
                <w:position w:val="-3"/>
              </w:rPr>
              <w:t>—</w:t>
            </w:r>
          </w:p>
        </w:tc>
        <w:tc>
          <w:tcPr>
            <w:tcW w:w="4172" w:type="dxa"/>
            <w:vMerge w:val="restart"/>
            <w:tcBorders>
              <w:bottom w:val="nil"/>
            </w:tcBorders>
            <w:vAlign w:val="top"/>
          </w:tcPr>
          <w:p w14:paraId="2C30B4A0">
            <w:pPr>
              <w:pStyle w:val="6"/>
              <w:spacing w:before="60" w:line="219" w:lineRule="auto"/>
              <w:ind w:left="127"/>
            </w:pPr>
            <w:r>
              <w:rPr>
                <w:spacing w:val="-1"/>
              </w:rPr>
              <w:t>通信管理：</w:t>
            </w:r>
            <w:r>
              <w:rPr>
                <w:color w:val="207040"/>
                <w:spacing w:val="-1"/>
              </w:rPr>
              <w:t>负责</w:t>
            </w:r>
            <w:r>
              <w:rPr>
                <w:color w:val="406060"/>
                <w:spacing w:val="-1"/>
              </w:rPr>
              <w:t>应急期间的通信保障。</w:t>
            </w:r>
          </w:p>
        </w:tc>
      </w:tr>
      <w:tr w14:paraId="3C072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4C915A3F">
            <w:pPr>
              <w:rPr>
                <w:rFonts w:ascii="Arial"/>
                <w:sz w:val="21"/>
              </w:rPr>
            </w:pPr>
          </w:p>
        </w:tc>
        <w:tc>
          <w:tcPr>
            <w:tcW w:w="2398" w:type="dxa"/>
            <w:vAlign w:val="top"/>
          </w:tcPr>
          <w:p w14:paraId="73E24593">
            <w:pPr>
              <w:pStyle w:val="6"/>
              <w:spacing w:before="71" w:line="219" w:lineRule="auto"/>
              <w:ind w:left="140"/>
            </w:pPr>
            <w:r>
              <w:rPr>
                <w:spacing w:val="1"/>
              </w:rPr>
              <w:t>中国移动通信集团内蒙</w:t>
            </w:r>
          </w:p>
          <w:p w14:paraId="33B817CD">
            <w:pPr>
              <w:pStyle w:val="6"/>
              <w:spacing w:before="51" w:line="208" w:lineRule="auto"/>
              <w:ind w:left="140"/>
            </w:pPr>
            <w:r>
              <w:rPr>
                <w:color w:val="506060"/>
                <w:spacing w:val="2"/>
              </w:rPr>
              <w:t>古有限公司石拐分公司</w:t>
            </w:r>
          </w:p>
        </w:tc>
        <w:tc>
          <w:tcPr>
            <w:tcW w:w="1379" w:type="dxa"/>
            <w:vAlign w:val="top"/>
          </w:tcPr>
          <w:p w14:paraId="37C750A4">
            <w:pPr>
              <w:pStyle w:val="6"/>
              <w:spacing w:before="51" w:line="219" w:lineRule="auto"/>
              <w:ind w:left="362"/>
            </w:pPr>
            <w:r>
              <w:rPr>
                <w:spacing w:val="3"/>
              </w:rPr>
              <w:t>杨成文</w:t>
            </w:r>
          </w:p>
          <w:p w14:paraId="1B11DD3D">
            <w:pPr>
              <w:pStyle w:val="6"/>
              <w:spacing w:before="111" w:line="173" w:lineRule="auto"/>
              <w:ind w:left="102"/>
            </w:pPr>
            <w:r>
              <w:rPr>
                <w:spacing w:val="-2"/>
              </w:rPr>
              <w:t>13604721918</w:t>
            </w:r>
          </w:p>
        </w:tc>
        <w:tc>
          <w:tcPr>
            <w:tcW w:w="1329" w:type="dxa"/>
            <w:vAlign w:val="top"/>
          </w:tcPr>
          <w:p w14:paraId="28C6B4E5">
            <w:pPr>
              <w:pStyle w:val="6"/>
              <w:spacing w:before="223" w:line="229" w:lineRule="auto"/>
              <w:ind w:left="443"/>
            </w:pPr>
            <w:r>
              <w:rPr>
                <w:spacing w:val="-3"/>
              </w:rPr>
              <w:t>经理</w:t>
            </w:r>
          </w:p>
        </w:tc>
        <w:tc>
          <w:tcPr>
            <w:tcW w:w="3677" w:type="dxa"/>
            <w:vMerge w:val="continue"/>
            <w:tcBorders>
              <w:top w:val="nil"/>
            </w:tcBorders>
            <w:vAlign w:val="top"/>
          </w:tcPr>
          <w:p w14:paraId="433E0D91">
            <w:pPr>
              <w:rPr>
                <w:rFonts w:ascii="Arial"/>
                <w:sz w:val="21"/>
              </w:rPr>
            </w:pPr>
          </w:p>
        </w:tc>
        <w:tc>
          <w:tcPr>
            <w:tcW w:w="4172" w:type="dxa"/>
            <w:vMerge w:val="continue"/>
            <w:tcBorders>
              <w:top w:val="nil"/>
            </w:tcBorders>
            <w:vAlign w:val="top"/>
          </w:tcPr>
          <w:p w14:paraId="73241549">
            <w:pPr>
              <w:rPr>
                <w:rFonts w:ascii="Arial"/>
                <w:sz w:val="21"/>
              </w:rPr>
            </w:pPr>
          </w:p>
        </w:tc>
      </w:tr>
      <w:tr w14:paraId="6C029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94" w:type="dxa"/>
            <w:vMerge w:val="continue"/>
            <w:tcBorders>
              <w:top w:val="nil"/>
              <w:bottom w:val="nil"/>
            </w:tcBorders>
            <w:vAlign w:val="top"/>
          </w:tcPr>
          <w:p w14:paraId="642D420A">
            <w:pPr>
              <w:rPr>
                <w:rFonts w:ascii="Arial"/>
                <w:sz w:val="21"/>
              </w:rPr>
            </w:pPr>
          </w:p>
        </w:tc>
        <w:tc>
          <w:tcPr>
            <w:tcW w:w="2398" w:type="dxa"/>
            <w:vAlign w:val="top"/>
          </w:tcPr>
          <w:p w14:paraId="0B05C9F0">
            <w:pPr>
              <w:pStyle w:val="6"/>
              <w:spacing w:before="221" w:line="219" w:lineRule="auto"/>
              <w:ind w:left="450"/>
            </w:pPr>
            <w:r>
              <w:rPr>
                <w:spacing w:val="1"/>
              </w:rPr>
              <w:t>石拐区委宣传部</w:t>
            </w:r>
          </w:p>
        </w:tc>
        <w:tc>
          <w:tcPr>
            <w:tcW w:w="1379" w:type="dxa"/>
            <w:vAlign w:val="top"/>
          </w:tcPr>
          <w:p w14:paraId="59AE2E02">
            <w:pPr>
              <w:pStyle w:val="6"/>
              <w:spacing w:before="43" w:line="220" w:lineRule="auto"/>
              <w:ind w:left="472"/>
            </w:pPr>
            <w:r>
              <w:rPr>
                <w:spacing w:val="4"/>
              </w:rPr>
              <w:t>哈斯</w:t>
            </w:r>
          </w:p>
          <w:p w14:paraId="476B3FFA">
            <w:pPr>
              <w:pStyle w:val="6"/>
              <w:spacing w:before="120" w:line="189" w:lineRule="auto"/>
              <w:ind w:left="102"/>
            </w:pPr>
            <w:r>
              <w:rPr>
                <w:spacing w:val="-2"/>
              </w:rPr>
              <w:t>18647993300</w:t>
            </w:r>
          </w:p>
        </w:tc>
        <w:tc>
          <w:tcPr>
            <w:tcW w:w="1329" w:type="dxa"/>
            <w:vAlign w:val="top"/>
          </w:tcPr>
          <w:p w14:paraId="4F48080C">
            <w:pPr>
              <w:pStyle w:val="6"/>
              <w:spacing w:before="222" w:line="219" w:lineRule="auto"/>
              <w:ind w:left="343"/>
            </w:pPr>
            <w:r>
              <w:rPr>
                <w:spacing w:val="3"/>
              </w:rPr>
              <w:t>副部长</w:t>
            </w:r>
          </w:p>
        </w:tc>
        <w:tc>
          <w:tcPr>
            <w:tcW w:w="3677" w:type="dxa"/>
            <w:vMerge w:val="restart"/>
            <w:tcBorders>
              <w:bottom w:val="nil"/>
            </w:tcBorders>
            <w:vAlign w:val="top"/>
          </w:tcPr>
          <w:p w14:paraId="343BE6AC">
            <w:pPr>
              <w:spacing w:line="299" w:lineRule="auto"/>
              <w:rPr>
                <w:rFonts w:ascii="Arial"/>
                <w:sz w:val="21"/>
              </w:rPr>
            </w:pPr>
          </w:p>
          <w:p w14:paraId="6CAB291A">
            <w:pPr>
              <w:spacing w:line="299" w:lineRule="auto"/>
              <w:rPr>
                <w:rFonts w:ascii="Arial"/>
                <w:sz w:val="21"/>
              </w:rPr>
            </w:pPr>
          </w:p>
          <w:p w14:paraId="1F4921A9">
            <w:pPr>
              <w:spacing w:line="300" w:lineRule="auto"/>
              <w:rPr>
                <w:rFonts w:ascii="Arial"/>
                <w:sz w:val="21"/>
              </w:rPr>
            </w:pPr>
          </w:p>
          <w:p w14:paraId="3E03EB2E">
            <w:pPr>
              <w:pStyle w:val="6"/>
              <w:spacing w:before="68" w:line="143" w:lineRule="exact"/>
              <w:ind w:left="1724"/>
            </w:pPr>
            <w:r>
              <w:rPr>
                <w:spacing w:val="-5"/>
                <w:w w:val="53"/>
                <w:position w:val="-3"/>
              </w:rPr>
              <w:t>—</w:t>
            </w:r>
            <w:r>
              <w:rPr>
                <w:position w:val="-3"/>
              </w:rPr>
              <w:t>—</w:t>
            </w:r>
          </w:p>
        </w:tc>
        <w:tc>
          <w:tcPr>
            <w:tcW w:w="4172" w:type="dxa"/>
            <w:vMerge w:val="restart"/>
            <w:tcBorders>
              <w:bottom w:val="nil"/>
            </w:tcBorders>
            <w:vAlign w:val="top"/>
          </w:tcPr>
          <w:p w14:paraId="045C5522">
            <w:pPr>
              <w:pStyle w:val="6"/>
              <w:spacing w:before="71" w:line="219" w:lineRule="auto"/>
              <w:ind w:left="127"/>
            </w:pPr>
            <w:r>
              <w:rPr>
                <w:color w:val="305050"/>
              </w:rPr>
              <w:t>宣传：负责应急期间的新闻发布、对外通报</w:t>
            </w:r>
          </w:p>
          <w:p w14:paraId="4F07A47D">
            <w:pPr>
              <w:pStyle w:val="6"/>
              <w:spacing w:before="62" w:line="219" w:lineRule="auto"/>
              <w:ind w:left="127"/>
            </w:pPr>
            <w:r>
              <w:rPr>
                <w:spacing w:val="-12"/>
              </w:rPr>
              <w:t>和信息公开等</w:t>
            </w:r>
            <w:r>
              <w:rPr>
                <w:color w:val="10A030"/>
                <w:spacing w:val="-12"/>
              </w:rPr>
              <w:t>工</w:t>
            </w:r>
            <w:r>
              <w:rPr>
                <w:spacing w:val="-12"/>
              </w:rPr>
              <w:t>作</w:t>
            </w:r>
            <w:r>
              <w:rPr>
                <w:spacing w:val="27"/>
              </w:rPr>
              <w:t xml:space="preserve"> </w:t>
            </w:r>
            <w:r>
              <w:rPr>
                <w:spacing w:val="-12"/>
              </w:rPr>
              <w:t>。</w:t>
            </w:r>
          </w:p>
        </w:tc>
      </w:tr>
      <w:tr w14:paraId="70D8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42E62301">
            <w:pPr>
              <w:rPr>
                <w:rFonts w:ascii="Arial"/>
                <w:sz w:val="21"/>
              </w:rPr>
            </w:pPr>
          </w:p>
        </w:tc>
        <w:tc>
          <w:tcPr>
            <w:tcW w:w="2398" w:type="dxa"/>
            <w:vAlign w:val="top"/>
          </w:tcPr>
          <w:p w14:paraId="1E07C98D">
            <w:pPr>
              <w:pStyle w:val="6"/>
              <w:spacing w:before="213" w:line="219" w:lineRule="auto"/>
              <w:ind w:left="560"/>
            </w:pPr>
            <w:r>
              <w:rPr>
                <w:spacing w:val="3"/>
              </w:rPr>
              <w:t>石拐区教育局</w:t>
            </w:r>
          </w:p>
        </w:tc>
        <w:tc>
          <w:tcPr>
            <w:tcW w:w="1379" w:type="dxa"/>
            <w:vAlign w:val="top"/>
          </w:tcPr>
          <w:p w14:paraId="1DD126B4">
            <w:pPr>
              <w:pStyle w:val="6"/>
              <w:spacing w:before="77" w:line="222" w:lineRule="auto"/>
              <w:ind w:left="362"/>
            </w:pPr>
            <w:r>
              <w:rPr>
                <w:spacing w:val="4"/>
              </w:rPr>
              <w:t>田锡钢</w:t>
            </w:r>
          </w:p>
          <w:p w14:paraId="4F1C98DE">
            <w:pPr>
              <w:pStyle w:val="6"/>
              <w:spacing w:before="84" w:line="171" w:lineRule="auto"/>
              <w:ind w:left="102"/>
            </w:pPr>
            <w:r>
              <w:rPr>
                <w:spacing w:val="-2"/>
              </w:rPr>
              <w:t>13848239468</w:t>
            </w:r>
          </w:p>
        </w:tc>
        <w:tc>
          <w:tcPr>
            <w:tcW w:w="1329" w:type="dxa"/>
            <w:vAlign w:val="top"/>
          </w:tcPr>
          <w:p w14:paraId="2F3EB514">
            <w:pPr>
              <w:pStyle w:val="6"/>
              <w:spacing w:before="213" w:line="219" w:lineRule="auto"/>
              <w:ind w:left="343"/>
            </w:pPr>
            <w:r>
              <w:rPr>
                <w:spacing w:val="3"/>
              </w:rPr>
              <w:t>副局长</w:t>
            </w:r>
          </w:p>
        </w:tc>
        <w:tc>
          <w:tcPr>
            <w:tcW w:w="3677" w:type="dxa"/>
            <w:vMerge w:val="continue"/>
            <w:tcBorders>
              <w:top w:val="nil"/>
              <w:bottom w:val="nil"/>
            </w:tcBorders>
            <w:vAlign w:val="top"/>
          </w:tcPr>
          <w:p w14:paraId="33044EB1">
            <w:pPr>
              <w:rPr>
                <w:rFonts w:ascii="Arial"/>
                <w:sz w:val="21"/>
              </w:rPr>
            </w:pPr>
          </w:p>
        </w:tc>
        <w:tc>
          <w:tcPr>
            <w:tcW w:w="4172" w:type="dxa"/>
            <w:vMerge w:val="continue"/>
            <w:tcBorders>
              <w:top w:val="nil"/>
              <w:bottom w:val="nil"/>
            </w:tcBorders>
            <w:vAlign w:val="top"/>
          </w:tcPr>
          <w:p w14:paraId="072112B6">
            <w:pPr>
              <w:rPr>
                <w:rFonts w:ascii="Arial"/>
                <w:sz w:val="21"/>
              </w:rPr>
            </w:pPr>
          </w:p>
        </w:tc>
      </w:tr>
      <w:tr w14:paraId="64BEE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0B980BD1">
            <w:pPr>
              <w:rPr>
                <w:rFonts w:ascii="Arial"/>
                <w:sz w:val="21"/>
              </w:rPr>
            </w:pPr>
          </w:p>
        </w:tc>
        <w:tc>
          <w:tcPr>
            <w:tcW w:w="2398" w:type="dxa"/>
            <w:vAlign w:val="top"/>
          </w:tcPr>
          <w:p w14:paraId="1A17F999">
            <w:pPr>
              <w:pStyle w:val="6"/>
              <w:spacing w:before="215" w:line="220" w:lineRule="auto"/>
              <w:ind w:left="140"/>
            </w:pPr>
            <w:r>
              <w:rPr>
                <w:spacing w:val="1"/>
              </w:rPr>
              <w:t>石拐区文体广电旅游局</w:t>
            </w:r>
          </w:p>
        </w:tc>
        <w:tc>
          <w:tcPr>
            <w:tcW w:w="1379" w:type="dxa"/>
            <w:vAlign w:val="top"/>
          </w:tcPr>
          <w:p w14:paraId="7ECEF57B">
            <w:pPr>
              <w:pStyle w:val="6"/>
              <w:spacing w:before="55" w:line="221" w:lineRule="auto"/>
              <w:ind w:left="362"/>
            </w:pPr>
            <w:r>
              <w:rPr>
                <w:spacing w:val="5"/>
              </w:rPr>
              <w:t>汤化雨</w:t>
            </w:r>
          </w:p>
          <w:p w14:paraId="79B29607">
            <w:pPr>
              <w:pStyle w:val="6"/>
              <w:spacing w:before="108" w:line="170" w:lineRule="auto"/>
              <w:ind w:left="102"/>
            </w:pPr>
            <w:r>
              <w:rPr>
                <w:spacing w:val="-2"/>
              </w:rPr>
              <w:t>13847276557</w:t>
            </w:r>
          </w:p>
        </w:tc>
        <w:tc>
          <w:tcPr>
            <w:tcW w:w="1329" w:type="dxa"/>
            <w:vAlign w:val="top"/>
          </w:tcPr>
          <w:p w14:paraId="099F0CDD">
            <w:pPr>
              <w:pStyle w:val="6"/>
              <w:spacing w:before="215" w:line="221" w:lineRule="auto"/>
              <w:ind w:left="443"/>
            </w:pPr>
            <w:r>
              <w:rPr>
                <w:spacing w:val="4"/>
              </w:rPr>
              <w:t>局长</w:t>
            </w:r>
          </w:p>
        </w:tc>
        <w:tc>
          <w:tcPr>
            <w:tcW w:w="3677" w:type="dxa"/>
            <w:vMerge w:val="continue"/>
            <w:tcBorders>
              <w:top w:val="nil"/>
            </w:tcBorders>
            <w:vAlign w:val="top"/>
          </w:tcPr>
          <w:p w14:paraId="53EF4A41">
            <w:pPr>
              <w:rPr>
                <w:rFonts w:ascii="Arial"/>
                <w:sz w:val="21"/>
              </w:rPr>
            </w:pPr>
          </w:p>
        </w:tc>
        <w:tc>
          <w:tcPr>
            <w:tcW w:w="4172" w:type="dxa"/>
            <w:vMerge w:val="continue"/>
            <w:tcBorders>
              <w:top w:val="nil"/>
            </w:tcBorders>
            <w:vAlign w:val="top"/>
          </w:tcPr>
          <w:p w14:paraId="56F4273C">
            <w:pPr>
              <w:rPr>
                <w:rFonts w:ascii="Arial"/>
                <w:sz w:val="21"/>
              </w:rPr>
            </w:pPr>
          </w:p>
        </w:tc>
      </w:tr>
      <w:tr w14:paraId="739F3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94" w:type="dxa"/>
            <w:vMerge w:val="continue"/>
            <w:tcBorders>
              <w:top w:val="nil"/>
              <w:bottom w:val="nil"/>
            </w:tcBorders>
            <w:vAlign w:val="top"/>
          </w:tcPr>
          <w:p w14:paraId="43E246EB">
            <w:pPr>
              <w:rPr>
                <w:rFonts w:ascii="Arial"/>
                <w:sz w:val="21"/>
              </w:rPr>
            </w:pPr>
          </w:p>
        </w:tc>
        <w:tc>
          <w:tcPr>
            <w:tcW w:w="2398" w:type="dxa"/>
            <w:vAlign w:val="top"/>
          </w:tcPr>
          <w:p w14:paraId="3B08B6AA">
            <w:pPr>
              <w:pStyle w:val="6"/>
              <w:spacing w:before="224" w:line="219" w:lineRule="auto"/>
              <w:ind w:left="240"/>
            </w:pPr>
            <w:r>
              <w:rPr>
                <w:color w:val="304040"/>
                <w:spacing w:val="2"/>
              </w:rPr>
              <w:t>包头供电局石拐分局</w:t>
            </w:r>
          </w:p>
        </w:tc>
        <w:tc>
          <w:tcPr>
            <w:tcW w:w="1379" w:type="dxa"/>
            <w:vAlign w:val="top"/>
          </w:tcPr>
          <w:p w14:paraId="3FDDED5D">
            <w:pPr>
              <w:pStyle w:val="6"/>
              <w:spacing w:before="45" w:line="219" w:lineRule="auto"/>
              <w:ind w:left="362"/>
            </w:pPr>
            <w:r>
              <w:rPr>
                <w:spacing w:val="3"/>
              </w:rPr>
              <w:t>郭继清</w:t>
            </w:r>
          </w:p>
          <w:p w14:paraId="1B99AC39">
            <w:pPr>
              <w:pStyle w:val="6"/>
              <w:spacing w:before="141" w:line="169" w:lineRule="auto"/>
              <w:ind w:left="102"/>
            </w:pPr>
            <w:r>
              <w:rPr>
                <w:spacing w:val="-2"/>
              </w:rPr>
              <w:t>13947290889</w:t>
            </w:r>
          </w:p>
        </w:tc>
        <w:tc>
          <w:tcPr>
            <w:tcW w:w="1329" w:type="dxa"/>
            <w:vAlign w:val="top"/>
          </w:tcPr>
          <w:p w14:paraId="7F710897">
            <w:pPr>
              <w:pStyle w:val="6"/>
              <w:spacing w:before="226" w:line="221" w:lineRule="auto"/>
              <w:ind w:left="443"/>
            </w:pPr>
            <w:r>
              <w:rPr>
                <w:spacing w:val="4"/>
              </w:rPr>
              <w:t>局长</w:t>
            </w:r>
          </w:p>
        </w:tc>
        <w:tc>
          <w:tcPr>
            <w:tcW w:w="3677" w:type="dxa"/>
            <w:vAlign w:val="top"/>
          </w:tcPr>
          <w:p w14:paraId="3AD3586E">
            <w:pPr>
              <w:pStyle w:val="6"/>
              <w:spacing w:before="65" w:line="219" w:lineRule="auto"/>
              <w:ind w:left="154"/>
            </w:pPr>
            <w:r>
              <w:rPr>
                <w:color w:val="606060"/>
                <w:spacing w:val="1"/>
              </w:rPr>
              <w:t>负责工业企业生产用电和居民生活用</w:t>
            </w:r>
          </w:p>
          <w:p w14:paraId="69F2DE7A">
            <w:pPr>
              <w:pStyle w:val="6"/>
              <w:spacing w:before="79" w:line="206" w:lineRule="auto"/>
              <w:ind w:left="514"/>
            </w:pPr>
            <w:r>
              <w:t>电的供应及供电设施的建设。</w:t>
            </w:r>
          </w:p>
        </w:tc>
        <w:tc>
          <w:tcPr>
            <w:tcW w:w="4172" w:type="dxa"/>
            <w:vAlign w:val="top"/>
          </w:tcPr>
          <w:p w14:paraId="0BA673D6">
            <w:pPr>
              <w:pStyle w:val="6"/>
              <w:spacing w:before="65" w:line="219" w:lineRule="auto"/>
              <w:ind w:left="127"/>
            </w:pPr>
            <w:r>
              <w:rPr>
                <w:color w:val="305050"/>
                <w:spacing w:val="-1"/>
              </w:rPr>
              <w:t>保障应急救援正常用电。</w:t>
            </w:r>
          </w:p>
        </w:tc>
      </w:tr>
      <w:tr w14:paraId="40115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94" w:type="dxa"/>
            <w:vMerge w:val="continue"/>
            <w:tcBorders>
              <w:top w:val="nil"/>
              <w:bottom w:val="nil"/>
            </w:tcBorders>
            <w:vAlign w:val="top"/>
          </w:tcPr>
          <w:p w14:paraId="3D9E6E20">
            <w:pPr>
              <w:rPr>
                <w:rFonts w:ascii="Arial"/>
                <w:sz w:val="21"/>
              </w:rPr>
            </w:pPr>
          </w:p>
        </w:tc>
        <w:tc>
          <w:tcPr>
            <w:tcW w:w="2398" w:type="dxa"/>
            <w:vAlign w:val="top"/>
          </w:tcPr>
          <w:p w14:paraId="1C6E1449">
            <w:pPr>
              <w:pStyle w:val="6"/>
              <w:spacing w:before="217" w:line="220" w:lineRule="auto"/>
              <w:ind w:left="560"/>
            </w:pPr>
            <w:r>
              <w:rPr>
                <w:spacing w:val="3"/>
              </w:rPr>
              <w:t>石拐区住建局</w:t>
            </w:r>
          </w:p>
        </w:tc>
        <w:tc>
          <w:tcPr>
            <w:tcW w:w="1379" w:type="dxa"/>
            <w:vAlign w:val="top"/>
          </w:tcPr>
          <w:p w14:paraId="45E90FA4">
            <w:pPr>
              <w:pStyle w:val="6"/>
              <w:spacing w:before="70" w:line="222" w:lineRule="auto"/>
              <w:ind w:left="472"/>
            </w:pPr>
            <w:r>
              <w:rPr>
                <w:spacing w:val="7"/>
              </w:rPr>
              <w:t>庞宏</w:t>
            </w:r>
          </w:p>
          <w:p w14:paraId="62FB0969">
            <w:pPr>
              <w:pStyle w:val="6"/>
              <w:spacing w:before="95" w:line="168" w:lineRule="auto"/>
              <w:ind w:left="102"/>
            </w:pPr>
            <w:r>
              <w:rPr>
                <w:spacing w:val="-2"/>
              </w:rPr>
              <w:t>13848229100</w:t>
            </w:r>
          </w:p>
        </w:tc>
        <w:tc>
          <w:tcPr>
            <w:tcW w:w="1329" w:type="dxa"/>
            <w:vAlign w:val="top"/>
          </w:tcPr>
          <w:p w14:paraId="052C2027">
            <w:pPr>
              <w:pStyle w:val="6"/>
              <w:spacing w:before="216" w:line="219" w:lineRule="auto"/>
              <w:ind w:left="343"/>
            </w:pPr>
            <w:r>
              <w:rPr>
                <w:spacing w:val="3"/>
              </w:rPr>
              <w:t>副局长</w:t>
            </w:r>
          </w:p>
        </w:tc>
        <w:tc>
          <w:tcPr>
            <w:tcW w:w="3677" w:type="dxa"/>
            <w:vAlign w:val="top"/>
          </w:tcPr>
          <w:p w14:paraId="1C510937">
            <w:pPr>
              <w:pStyle w:val="6"/>
              <w:spacing w:before="67" w:line="238" w:lineRule="auto"/>
              <w:ind w:left="124" w:right="36" w:hanging="80"/>
            </w:pPr>
            <w:r>
              <w:t>应急物资所属部门：</w:t>
            </w:r>
            <w:r>
              <w:rPr>
                <w:color w:val="304040"/>
              </w:rPr>
              <w:t>负责有关应急物资</w:t>
            </w:r>
            <w:r>
              <w:rPr>
                <w:color w:val="304040"/>
                <w:spacing w:val="14"/>
              </w:rPr>
              <w:t xml:space="preserve"> </w:t>
            </w:r>
            <w:r>
              <w:rPr>
                <w:spacing w:val="-1"/>
              </w:rPr>
              <w:t>的日常维护管理。</w:t>
            </w:r>
          </w:p>
        </w:tc>
        <w:tc>
          <w:tcPr>
            <w:tcW w:w="4172" w:type="dxa"/>
            <w:vAlign w:val="top"/>
          </w:tcPr>
          <w:p w14:paraId="244F17E9">
            <w:pPr>
              <w:pStyle w:val="6"/>
              <w:spacing w:before="66" w:line="219" w:lineRule="auto"/>
              <w:ind w:left="117"/>
            </w:pPr>
            <w:r>
              <w:rPr>
                <w:color w:val="405050"/>
                <w:spacing w:val="-1"/>
              </w:rPr>
              <w:t>负责有关应急物资的使用管理。</w:t>
            </w:r>
          </w:p>
        </w:tc>
      </w:tr>
      <w:tr w14:paraId="6CC37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3" w:hRule="atLeast"/>
        </w:trPr>
        <w:tc>
          <w:tcPr>
            <w:tcW w:w="994" w:type="dxa"/>
            <w:vMerge w:val="continue"/>
            <w:tcBorders>
              <w:top w:val="nil"/>
            </w:tcBorders>
            <w:vAlign w:val="top"/>
          </w:tcPr>
          <w:p w14:paraId="3524E8E5">
            <w:pPr>
              <w:rPr>
                <w:rFonts w:ascii="Arial"/>
                <w:sz w:val="21"/>
              </w:rPr>
            </w:pPr>
          </w:p>
        </w:tc>
        <w:tc>
          <w:tcPr>
            <w:tcW w:w="2398" w:type="dxa"/>
            <w:vAlign w:val="top"/>
          </w:tcPr>
          <w:p w14:paraId="22E785E0">
            <w:pPr>
              <w:spacing w:line="317" w:lineRule="auto"/>
              <w:rPr>
                <w:rFonts w:ascii="Arial"/>
                <w:sz w:val="21"/>
              </w:rPr>
            </w:pPr>
          </w:p>
          <w:p w14:paraId="05B26BCF">
            <w:pPr>
              <w:spacing w:line="318" w:lineRule="auto"/>
              <w:rPr>
                <w:rFonts w:ascii="Arial"/>
                <w:sz w:val="21"/>
              </w:rPr>
            </w:pPr>
          </w:p>
          <w:p w14:paraId="01E1B0F2">
            <w:pPr>
              <w:pStyle w:val="6"/>
              <w:spacing w:before="68" w:line="219" w:lineRule="auto"/>
              <w:ind w:left="140"/>
            </w:pPr>
            <w:r>
              <w:rPr>
                <w:color w:val="304040"/>
                <w:spacing w:val="2"/>
              </w:rPr>
              <w:t>石拐区发展和改革委员</w:t>
            </w:r>
          </w:p>
          <w:p w14:paraId="4E54D05A">
            <w:pPr>
              <w:pStyle w:val="6"/>
              <w:spacing w:before="29" w:line="219" w:lineRule="auto"/>
              <w:ind w:left="1080"/>
            </w:pPr>
            <w:r>
              <w:t>会</w:t>
            </w:r>
          </w:p>
        </w:tc>
        <w:tc>
          <w:tcPr>
            <w:tcW w:w="1379" w:type="dxa"/>
            <w:vAlign w:val="top"/>
          </w:tcPr>
          <w:p w14:paraId="0A4D16EE">
            <w:pPr>
              <w:spacing w:line="318" w:lineRule="auto"/>
              <w:rPr>
                <w:rFonts w:ascii="Arial"/>
                <w:sz w:val="21"/>
              </w:rPr>
            </w:pPr>
          </w:p>
          <w:p w14:paraId="354339D3">
            <w:pPr>
              <w:spacing w:line="318" w:lineRule="auto"/>
              <w:rPr>
                <w:rFonts w:ascii="Arial"/>
                <w:sz w:val="21"/>
              </w:rPr>
            </w:pPr>
          </w:p>
          <w:p w14:paraId="26FC513E">
            <w:pPr>
              <w:pStyle w:val="6"/>
              <w:spacing w:before="68" w:line="221" w:lineRule="auto"/>
              <w:ind w:left="362"/>
            </w:pPr>
            <w:r>
              <w:rPr>
                <w:spacing w:val="-2"/>
              </w:rPr>
              <w:t>刘志强</w:t>
            </w:r>
          </w:p>
          <w:p w14:paraId="3D9C5FE4">
            <w:pPr>
              <w:pStyle w:val="6"/>
              <w:spacing w:before="77"/>
              <w:ind w:left="102"/>
            </w:pPr>
            <w:r>
              <w:rPr>
                <w:spacing w:val="-2"/>
              </w:rPr>
              <w:t>13848210362</w:t>
            </w:r>
          </w:p>
        </w:tc>
        <w:tc>
          <w:tcPr>
            <w:tcW w:w="1329" w:type="dxa"/>
            <w:vAlign w:val="top"/>
          </w:tcPr>
          <w:p w14:paraId="7C501AB7">
            <w:pPr>
              <w:spacing w:line="258" w:lineRule="auto"/>
              <w:rPr>
                <w:rFonts w:ascii="Arial"/>
                <w:sz w:val="21"/>
              </w:rPr>
            </w:pPr>
          </w:p>
          <w:p w14:paraId="3F497278">
            <w:pPr>
              <w:spacing w:line="258" w:lineRule="auto"/>
              <w:rPr>
                <w:rFonts w:ascii="Arial"/>
                <w:sz w:val="21"/>
              </w:rPr>
            </w:pPr>
          </w:p>
          <w:p w14:paraId="49BD5283">
            <w:pPr>
              <w:spacing w:line="259" w:lineRule="auto"/>
              <w:rPr>
                <w:rFonts w:ascii="Arial"/>
                <w:sz w:val="21"/>
              </w:rPr>
            </w:pPr>
          </w:p>
          <w:p w14:paraId="7AA24BF7">
            <w:pPr>
              <w:pStyle w:val="6"/>
              <w:spacing w:before="69" w:line="221" w:lineRule="auto"/>
              <w:ind w:left="443"/>
            </w:pPr>
            <w:r>
              <w:rPr>
                <w:spacing w:val="4"/>
              </w:rPr>
              <w:t>局长</w:t>
            </w:r>
          </w:p>
        </w:tc>
        <w:tc>
          <w:tcPr>
            <w:tcW w:w="3677" w:type="dxa"/>
            <w:vAlign w:val="top"/>
          </w:tcPr>
          <w:p w14:paraId="4BCE2560">
            <w:pPr>
              <w:spacing w:line="291" w:lineRule="auto"/>
              <w:rPr>
                <w:rFonts w:ascii="Arial"/>
                <w:sz w:val="21"/>
              </w:rPr>
            </w:pPr>
          </w:p>
          <w:p w14:paraId="01FC0BBD">
            <w:pPr>
              <w:spacing w:line="291" w:lineRule="auto"/>
              <w:rPr>
                <w:rFonts w:ascii="Arial"/>
                <w:sz w:val="21"/>
              </w:rPr>
            </w:pPr>
          </w:p>
          <w:p w14:paraId="1D48F266">
            <w:pPr>
              <w:spacing w:line="291" w:lineRule="auto"/>
              <w:rPr>
                <w:rFonts w:ascii="Arial"/>
                <w:sz w:val="21"/>
              </w:rPr>
            </w:pPr>
          </w:p>
          <w:p w14:paraId="7B49BE7B">
            <w:pPr>
              <w:pStyle w:val="6"/>
              <w:spacing w:before="69" w:line="143" w:lineRule="auto"/>
              <w:ind w:left="1674"/>
            </w:pPr>
            <w:r>
              <w:rPr>
                <w:spacing w:val="-18"/>
                <w:w w:val="81"/>
              </w:rPr>
              <w:t>一</w:t>
            </w:r>
            <w:r>
              <w:rPr>
                <w:spacing w:val="-100"/>
              </w:rPr>
              <w:t xml:space="preserve"> </w:t>
            </w:r>
            <w:r>
              <w:rPr>
                <w:u w:val="dotted" w:color="auto"/>
              </w:rPr>
              <w:t xml:space="preserve">  </w:t>
            </w:r>
          </w:p>
        </w:tc>
        <w:tc>
          <w:tcPr>
            <w:tcW w:w="4172" w:type="dxa"/>
            <w:vAlign w:val="top"/>
          </w:tcPr>
          <w:p w14:paraId="2E9A6757">
            <w:pPr>
              <w:pStyle w:val="6"/>
              <w:spacing w:before="57" w:line="219" w:lineRule="auto"/>
              <w:ind w:left="127"/>
            </w:pPr>
            <w:r>
              <w:rPr>
                <w:color w:val="505050"/>
              </w:rPr>
              <w:t>负责应急状态下紧缺物资生产组织工作，承</w:t>
            </w:r>
          </w:p>
          <w:p w14:paraId="7377A333">
            <w:pPr>
              <w:pStyle w:val="6"/>
              <w:spacing w:before="70" w:line="219" w:lineRule="auto"/>
              <w:ind w:left="127"/>
            </w:pPr>
            <w:r>
              <w:rPr>
                <w:color w:val="505060"/>
              </w:rPr>
              <w:t>担突发事件应急状态下煤、</w:t>
            </w:r>
            <w:r>
              <w:t>电、油、运紧急</w:t>
            </w:r>
          </w:p>
          <w:p w14:paraId="092A79FA">
            <w:pPr>
              <w:pStyle w:val="6"/>
              <w:spacing w:before="67" w:line="259" w:lineRule="auto"/>
              <w:ind w:left="127" w:right="20" w:firstLine="9"/>
              <w:jc w:val="both"/>
            </w:pPr>
            <w:r>
              <w:rPr>
                <w:color w:val="304040"/>
              </w:rPr>
              <w:t>调度和综合协调；</w:t>
            </w:r>
            <w:r>
              <w:rPr>
                <w:color w:val="506060"/>
              </w:rPr>
              <w:t>在应急供水状态下，</w:t>
            </w:r>
            <w:r>
              <w:rPr>
                <w:color w:val="505050"/>
              </w:rPr>
              <w:t>负责</w:t>
            </w:r>
            <w:r>
              <w:rPr>
                <w:color w:val="505050"/>
                <w:spacing w:val="12"/>
              </w:rPr>
              <w:t xml:space="preserve"> </w:t>
            </w:r>
            <w:r>
              <w:rPr>
                <w:color w:val="405050"/>
              </w:rPr>
              <w:t>组织储存、调运桶(瓶)装饮用水；</w:t>
            </w:r>
            <w:r>
              <w:rPr>
                <w:color w:val="606060"/>
              </w:rPr>
              <w:t>负责应急</w:t>
            </w:r>
            <w:r>
              <w:rPr>
                <w:color w:val="606060"/>
                <w:spacing w:val="13"/>
              </w:rPr>
              <w:t xml:space="preserve"> </w:t>
            </w:r>
            <w:r>
              <w:rPr>
                <w:color w:val="405060"/>
                <w:spacing w:val="-1"/>
              </w:rPr>
              <w:t>处置的生活必需品保障。</w:t>
            </w:r>
            <w:r>
              <w:rPr>
                <w:color w:val="406050"/>
                <w:spacing w:val="-1"/>
              </w:rPr>
              <w:t>督促规模以上工业</w:t>
            </w:r>
            <w:r>
              <w:rPr>
                <w:color w:val="406050"/>
                <w:spacing w:val="15"/>
              </w:rPr>
              <w:t xml:space="preserve"> </w:t>
            </w:r>
            <w:r>
              <w:t>企业落实环境</w:t>
            </w:r>
            <w:r>
              <w:rPr>
                <w:color w:val="405040"/>
              </w:rPr>
              <w:t>应急措施。</w:t>
            </w:r>
          </w:p>
        </w:tc>
      </w:tr>
    </w:tbl>
    <w:p w14:paraId="0F0D29F1">
      <w:pPr>
        <w:rPr>
          <w:rFonts w:ascii="Arial"/>
          <w:sz w:val="21"/>
        </w:rPr>
      </w:pPr>
    </w:p>
    <w:p w14:paraId="75D943C3">
      <w:pPr>
        <w:rPr>
          <w:rFonts w:ascii="Arial" w:hAnsi="Arial" w:eastAsia="Arial" w:cs="Arial"/>
          <w:sz w:val="21"/>
          <w:szCs w:val="21"/>
        </w:rPr>
        <w:sectPr>
          <w:footerReference r:id="rId17" w:type="default"/>
          <w:pgSz w:w="16850" w:h="11910"/>
          <w:pgMar w:top="1012" w:right="1494" w:bottom="1484" w:left="1395" w:header="0" w:footer="1349" w:gutter="0"/>
          <w:cols w:space="720" w:num="1"/>
        </w:sectPr>
      </w:pPr>
    </w:p>
    <w:p w14:paraId="71D6402D">
      <w:pPr>
        <w:spacing w:before="6"/>
      </w:pPr>
    </w:p>
    <w:p w14:paraId="74767553">
      <w:pPr>
        <w:spacing w:before="6"/>
      </w:pPr>
    </w:p>
    <w:p w14:paraId="6EB44FB5">
      <w:pPr>
        <w:spacing w:before="6"/>
      </w:pPr>
    </w:p>
    <w:tbl>
      <w:tblPr>
        <w:tblStyle w:val="5"/>
        <w:tblW w:w="139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5"/>
        <w:gridCol w:w="2408"/>
        <w:gridCol w:w="1379"/>
        <w:gridCol w:w="1329"/>
        <w:gridCol w:w="3687"/>
        <w:gridCol w:w="4162"/>
      </w:tblGrid>
      <w:tr w14:paraId="5B8E2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975" w:type="dxa"/>
            <w:vAlign w:val="top"/>
          </w:tcPr>
          <w:p w14:paraId="5A2E9678">
            <w:pPr>
              <w:spacing w:line="434" w:lineRule="auto"/>
              <w:rPr>
                <w:rFonts w:ascii="Arial"/>
                <w:sz w:val="21"/>
              </w:rPr>
            </w:pPr>
          </w:p>
          <w:p w14:paraId="75B48F07">
            <w:pPr>
              <w:pStyle w:val="6"/>
              <w:spacing w:before="68" w:line="301" w:lineRule="auto"/>
              <w:ind w:left="165" w:right="180" w:firstLine="100"/>
            </w:pPr>
            <w:bookmarkStart w:id="30" w:name="bookmark75"/>
            <w:bookmarkEnd w:id="30"/>
            <w:r>
              <w:rPr>
                <w:spacing w:val="6"/>
              </w:rPr>
              <w:t>专项</w:t>
            </w:r>
            <w:r>
              <w:t xml:space="preserve">  </w:t>
            </w:r>
            <w:r>
              <w:rPr>
                <w:spacing w:val="-4"/>
              </w:rPr>
              <w:t>工作组</w:t>
            </w:r>
          </w:p>
        </w:tc>
        <w:tc>
          <w:tcPr>
            <w:tcW w:w="2408" w:type="dxa"/>
            <w:vAlign w:val="top"/>
          </w:tcPr>
          <w:p w14:paraId="7C5D09D4">
            <w:pPr>
              <w:spacing w:line="300" w:lineRule="auto"/>
              <w:rPr>
                <w:rFonts w:ascii="Arial"/>
                <w:sz w:val="21"/>
              </w:rPr>
            </w:pPr>
          </w:p>
          <w:p w14:paraId="4DE07D9E">
            <w:pPr>
              <w:spacing w:line="301" w:lineRule="auto"/>
              <w:rPr>
                <w:rFonts w:ascii="Arial"/>
                <w:sz w:val="21"/>
              </w:rPr>
            </w:pPr>
          </w:p>
          <w:p w14:paraId="5C3D0F93">
            <w:pPr>
              <w:pStyle w:val="6"/>
              <w:spacing w:before="69" w:line="219" w:lineRule="auto"/>
              <w:ind w:left="160"/>
            </w:pPr>
            <w:r>
              <w:rPr>
                <w:color w:val="304040"/>
                <w:spacing w:val="1"/>
              </w:rPr>
              <w:t>石拐区市场监督管理局</w:t>
            </w:r>
          </w:p>
        </w:tc>
        <w:tc>
          <w:tcPr>
            <w:tcW w:w="1379" w:type="dxa"/>
            <w:vAlign w:val="top"/>
          </w:tcPr>
          <w:p w14:paraId="44373B80">
            <w:pPr>
              <w:spacing w:line="453" w:lineRule="auto"/>
              <w:rPr>
                <w:rFonts w:ascii="Arial"/>
                <w:sz w:val="21"/>
              </w:rPr>
            </w:pPr>
          </w:p>
          <w:p w14:paraId="59F5E082">
            <w:pPr>
              <w:pStyle w:val="6"/>
              <w:spacing w:before="68" w:line="220" w:lineRule="auto"/>
              <w:ind w:left="362"/>
            </w:pPr>
            <w:r>
              <w:rPr>
                <w:spacing w:val="3"/>
              </w:rPr>
              <w:t>贺文平</w:t>
            </w:r>
          </w:p>
          <w:p w14:paraId="125CF9EF">
            <w:pPr>
              <w:pStyle w:val="6"/>
              <w:spacing w:before="108"/>
              <w:ind w:left="105"/>
            </w:pPr>
            <w:r>
              <w:rPr>
                <w:b/>
                <w:bCs/>
                <w:spacing w:val="-5"/>
              </w:rPr>
              <w:t>13739929666</w:t>
            </w:r>
          </w:p>
        </w:tc>
        <w:tc>
          <w:tcPr>
            <w:tcW w:w="1329" w:type="dxa"/>
            <w:vAlign w:val="top"/>
          </w:tcPr>
          <w:p w14:paraId="4BF0FB42">
            <w:pPr>
              <w:spacing w:line="301" w:lineRule="auto"/>
              <w:rPr>
                <w:rFonts w:ascii="Arial"/>
                <w:sz w:val="21"/>
              </w:rPr>
            </w:pPr>
          </w:p>
          <w:p w14:paraId="4437EE3D">
            <w:pPr>
              <w:spacing w:line="301" w:lineRule="auto"/>
              <w:rPr>
                <w:rFonts w:ascii="Arial"/>
                <w:sz w:val="21"/>
              </w:rPr>
            </w:pPr>
          </w:p>
          <w:p w14:paraId="7BB8D6AB">
            <w:pPr>
              <w:pStyle w:val="6"/>
              <w:spacing w:before="69" w:line="221" w:lineRule="auto"/>
              <w:ind w:left="443"/>
            </w:pPr>
            <w:r>
              <w:rPr>
                <w:spacing w:val="4"/>
              </w:rPr>
              <w:t>局长</w:t>
            </w:r>
          </w:p>
        </w:tc>
        <w:tc>
          <w:tcPr>
            <w:tcW w:w="3687" w:type="dxa"/>
            <w:vAlign w:val="top"/>
          </w:tcPr>
          <w:p w14:paraId="21430776">
            <w:pPr>
              <w:spacing w:line="251" w:lineRule="auto"/>
              <w:rPr>
                <w:rFonts w:ascii="Arial"/>
                <w:sz w:val="21"/>
              </w:rPr>
            </w:pPr>
          </w:p>
          <w:p w14:paraId="3CD331E6">
            <w:pPr>
              <w:spacing w:line="251" w:lineRule="auto"/>
              <w:rPr>
                <w:rFonts w:ascii="Arial"/>
                <w:sz w:val="21"/>
              </w:rPr>
            </w:pPr>
          </w:p>
          <w:p w14:paraId="7AC7039D">
            <w:pPr>
              <w:spacing w:line="251" w:lineRule="auto"/>
              <w:rPr>
                <w:rFonts w:ascii="Arial"/>
                <w:sz w:val="21"/>
              </w:rPr>
            </w:pPr>
          </w:p>
          <w:p w14:paraId="38745592">
            <w:pPr>
              <w:pStyle w:val="6"/>
              <w:spacing w:before="26" w:line="54" w:lineRule="exact"/>
              <w:ind w:left="1634"/>
              <w:rPr>
                <w:sz w:val="8"/>
                <w:szCs w:val="8"/>
              </w:rPr>
            </w:pPr>
            <w:r>
              <w:rPr>
                <w:spacing w:val="-2"/>
                <w:w w:val="53"/>
                <w:position w:val="-1"/>
                <w:sz w:val="8"/>
                <w:szCs w:val="8"/>
              </w:rPr>
              <w:t>—</w:t>
            </w:r>
            <w:r>
              <w:rPr>
                <w:position w:val="-1"/>
                <w:sz w:val="8"/>
                <w:szCs w:val="8"/>
              </w:rPr>
              <w:t>—</w:t>
            </w:r>
          </w:p>
        </w:tc>
        <w:tc>
          <w:tcPr>
            <w:tcW w:w="4162" w:type="dxa"/>
            <w:vAlign w:val="top"/>
          </w:tcPr>
          <w:p w14:paraId="23B2016D">
            <w:pPr>
              <w:pStyle w:val="6"/>
              <w:spacing w:before="44" w:line="282" w:lineRule="auto"/>
              <w:ind w:left="77" w:right="94" w:firstLine="109"/>
            </w:pPr>
            <w:r>
              <w:rPr>
                <w:color w:val="304040"/>
              </w:rPr>
              <w:t>负责加强对突发环境事件应急状态下生活</w:t>
            </w:r>
            <w:r>
              <w:rPr>
                <w:color w:val="304040"/>
                <w:spacing w:val="7"/>
              </w:rPr>
              <w:t xml:space="preserve"> </w:t>
            </w:r>
            <w:r>
              <w:rPr>
                <w:color w:val="304040"/>
                <w:spacing w:val="-1"/>
              </w:rPr>
              <w:t>必需品市场运行和供应情况的监控，</w:t>
            </w:r>
            <w:r>
              <w:rPr>
                <w:spacing w:val="-1"/>
              </w:rPr>
              <w:t>协调组</w:t>
            </w:r>
          </w:p>
          <w:p w14:paraId="57D1BBB8">
            <w:pPr>
              <w:pStyle w:val="6"/>
              <w:spacing w:before="6" w:line="219" w:lineRule="auto"/>
              <w:ind w:left="77"/>
            </w:pPr>
            <w:r>
              <w:rPr>
                <w:color w:val="606060"/>
                <w:spacing w:val="-1"/>
              </w:rPr>
              <w:t>织生活必需品的市场供应；负责在应急处置</w:t>
            </w:r>
          </w:p>
          <w:p w14:paraId="74BF0FA2">
            <w:pPr>
              <w:pStyle w:val="6"/>
              <w:spacing w:before="52" w:line="219" w:lineRule="auto"/>
              <w:ind w:left="77"/>
            </w:pPr>
            <w:r>
              <w:rPr>
                <w:color w:val="405050"/>
              </w:rPr>
              <w:t>中做好食品、药品和医疗器械质量监管，保</w:t>
            </w:r>
          </w:p>
          <w:p w14:paraId="388FE882">
            <w:pPr>
              <w:pStyle w:val="6"/>
              <w:spacing w:before="70" w:line="199" w:lineRule="auto"/>
              <w:ind w:left="107"/>
            </w:pPr>
            <w:r>
              <w:rPr>
                <w:spacing w:val="-1"/>
              </w:rPr>
              <w:t>障食品、药械安全工作。</w:t>
            </w:r>
          </w:p>
        </w:tc>
      </w:tr>
    </w:tbl>
    <w:p w14:paraId="096AC8BE">
      <w:pPr>
        <w:rPr>
          <w:rFonts w:ascii="Arial"/>
          <w:sz w:val="21"/>
        </w:rPr>
      </w:pPr>
    </w:p>
    <w:p w14:paraId="389FB39C">
      <w:pPr>
        <w:rPr>
          <w:rFonts w:ascii="Arial" w:hAnsi="Arial" w:eastAsia="Arial" w:cs="Arial"/>
          <w:sz w:val="21"/>
          <w:szCs w:val="21"/>
        </w:rPr>
        <w:sectPr>
          <w:footerReference r:id="rId18" w:type="default"/>
          <w:pgSz w:w="16850" w:h="11910"/>
          <w:pgMar w:top="1012" w:right="1685" w:bottom="1433" w:left="1214" w:header="0" w:footer="1271" w:gutter="0"/>
          <w:cols w:space="720" w:num="1"/>
        </w:sectPr>
      </w:pPr>
    </w:p>
    <w:p w14:paraId="57CC8F55">
      <w:pPr>
        <w:spacing w:before="45" w:line="357" w:lineRule="auto"/>
        <w:ind w:right="134" w:firstLine="499"/>
        <w:jc w:val="both"/>
        <w:rPr>
          <w:rFonts w:ascii="宋体" w:hAnsi="宋体" w:eastAsia="宋体" w:cs="宋体"/>
          <w:sz w:val="24"/>
          <w:szCs w:val="24"/>
        </w:rPr>
      </w:pPr>
      <w:r>
        <w:rPr>
          <w:rFonts w:ascii="宋体" w:hAnsi="宋体" w:eastAsia="宋体" w:cs="宋体"/>
          <w:spacing w:val="-2"/>
          <w:sz w:val="24"/>
          <w:szCs w:val="24"/>
        </w:rPr>
        <w:t>当包头市石拐区集中式饮用水水源地发生突发环境事件时，石拐</w:t>
      </w:r>
      <w:r>
        <w:rPr>
          <w:rFonts w:ascii="宋体" w:hAnsi="宋体" w:eastAsia="宋体" w:cs="宋体"/>
          <w:spacing w:val="-3"/>
          <w:sz w:val="24"/>
          <w:szCs w:val="24"/>
        </w:rPr>
        <w:t>区集中式饮</w:t>
      </w:r>
      <w:r>
        <w:rPr>
          <w:rFonts w:ascii="宋体" w:hAnsi="宋体" w:eastAsia="宋体" w:cs="宋体"/>
          <w:sz w:val="24"/>
          <w:szCs w:val="24"/>
        </w:rPr>
        <w:t xml:space="preserve"> </w:t>
      </w:r>
      <w:r>
        <w:rPr>
          <w:rFonts w:ascii="宋体" w:hAnsi="宋体" w:eastAsia="宋体" w:cs="宋体"/>
          <w:spacing w:val="-1"/>
          <w:sz w:val="24"/>
          <w:szCs w:val="24"/>
        </w:rPr>
        <w:t>用水水源地突发环境事件应急指挥部统一领导、</w:t>
      </w:r>
      <w:r>
        <w:rPr>
          <w:rFonts w:ascii="宋体" w:hAnsi="宋体" w:eastAsia="宋体" w:cs="宋体"/>
          <w:spacing w:val="-2"/>
          <w:sz w:val="24"/>
          <w:szCs w:val="24"/>
        </w:rPr>
        <w:t>组织和指挥应急处置工作。由石</w:t>
      </w:r>
      <w:r>
        <w:rPr>
          <w:rFonts w:ascii="宋体" w:hAnsi="宋体" w:eastAsia="宋体" w:cs="宋体"/>
          <w:sz w:val="24"/>
          <w:szCs w:val="24"/>
        </w:rPr>
        <w:t xml:space="preserve"> </w:t>
      </w:r>
      <w:r>
        <w:rPr>
          <w:rFonts w:ascii="宋体" w:hAnsi="宋体" w:eastAsia="宋体" w:cs="宋体"/>
          <w:spacing w:val="-1"/>
          <w:sz w:val="24"/>
          <w:szCs w:val="24"/>
        </w:rPr>
        <w:t>拐区政府负责包头市石拐区集中式饮用水水源地的突发环境事</w:t>
      </w:r>
      <w:r>
        <w:rPr>
          <w:rFonts w:ascii="宋体" w:hAnsi="宋体" w:eastAsia="宋体" w:cs="宋体"/>
          <w:spacing w:val="-2"/>
          <w:sz w:val="24"/>
          <w:szCs w:val="24"/>
        </w:rPr>
        <w:t>件应对工作，明确</w:t>
      </w:r>
      <w:r>
        <w:rPr>
          <w:rFonts w:ascii="宋体" w:hAnsi="宋体" w:eastAsia="宋体" w:cs="宋体"/>
          <w:sz w:val="24"/>
          <w:szCs w:val="24"/>
        </w:rPr>
        <w:t xml:space="preserve"> </w:t>
      </w:r>
      <w:r>
        <w:rPr>
          <w:rFonts w:ascii="宋体" w:hAnsi="宋体" w:eastAsia="宋体" w:cs="宋体"/>
          <w:spacing w:val="-1"/>
          <w:sz w:val="24"/>
          <w:szCs w:val="24"/>
        </w:rPr>
        <w:t>相应组织指挥机构。各相关部门按照职责分工</w:t>
      </w:r>
      <w:r>
        <w:rPr>
          <w:rFonts w:ascii="宋体" w:hAnsi="宋体" w:eastAsia="宋体" w:cs="宋体"/>
          <w:spacing w:val="-2"/>
          <w:sz w:val="24"/>
          <w:szCs w:val="24"/>
        </w:rPr>
        <w:t>，密切配合，共同做好突发环境事</w:t>
      </w:r>
      <w:r>
        <w:rPr>
          <w:rFonts w:ascii="宋体" w:hAnsi="宋体" w:eastAsia="宋体" w:cs="宋体"/>
          <w:sz w:val="24"/>
          <w:szCs w:val="24"/>
        </w:rPr>
        <w:t xml:space="preserve"> </w:t>
      </w:r>
      <w:r>
        <w:rPr>
          <w:rFonts w:ascii="宋体" w:hAnsi="宋体" w:eastAsia="宋体" w:cs="宋体"/>
          <w:spacing w:val="-3"/>
          <w:sz w:val="24"/>
          <w:szCs w:val="24"/>
        </w:rPr>
        <w:t>件的应对工作。</w:t>
      </w:r>
    </w:p>
    <w:p w14:paraId="3B99A210">
      <w:pPr>
        <w:spacing w:before="13" w:line="355" w:lineRule="auto"/>
        <w:ind w:right="165" w:firstLine="499"/>
        <w:jc w:val="both"/>
        <w:rPr>
          <w:rFonts w:ascii="宋体" w:hAnsi="宋体" w:eastAsia="宋体" w:cs="宋体"/>
          <w:sz w:val="24"/>
          <w:szCs w:val="24"/>
        </w:rPr>
      </w:pPr>
      <w:r>
        <w:rPr>
          <w:rFonts w:ascii="宋体" w:hAnsi="宋体" w:eastAsia="宋体" w:cs="宋体"/>
          <w:color w:val="506070"/>
          <w:spacing w:val="1"/>
          <w:sz w:val="24"/>
          <w:szCs w:val="24"/>
        </w:rPr>
        <w:t>对需要包头市市级层面协调处置的超</w:t>
      </w:r>
      <w:r>
        <w:rPr>
          <w:rFonts w:ascii="宋体" w:hAnsi="宋体" w:eastAsia="宋体" w:cs="宋体"/>
          <w:spacing w:val="1"/>
          <w:sz w:val="24"/>
          <w:szCs w:val="24"/>
        </w:rPr>
        <w:t>出包头市石拐区集中式饮用</w:t>
      </w:r>
      <w:r>
        <w:rPr>
          <w:rFonts w:ascii="宋体" w:hAnsi="宋体" w:eastAsia="宋体" w:cs="宋体"/>
          <w:sz w:val="24"/>
          <w:szCs w:val="24"/>
        </w:rPr>
        <w:t xml:space="preserve">水水源地  </w:t>
      </w:r>
      <w:r>
        <w:rPr>
          <w:rFonts w:ascii="宋体" w:hAnsi="宋体" w:eastAsia="宋体" w:cs="宋体"/>
          <w:spacing w:val="-2"/>
          <w:sz w:val="24"/>
          <w:szCs w:val="24"/>
        </w:rPr>
        <w:t>的突发环境事件，由石拐区政府向市政府提出请求，或由包头市生态环</w:t>
      </w:r>
      <w:r>
        <w:rPr>
          <w:rFonts w:ascii="宋体" w:hAnsi="宋体" w:eastAsia="宋体" w:cs="宋体"/>
          <w:spacing w:val="-3"/>
          <w:sz w:val="24"/>
          <w:szCs w:val="24"/>
        </w:rPr>
        <w:t>境局石拐</w:t>
      </w:r>
      <w:r>
        <w:rPr>
          <w:rFonts w:ascii="宋体" w:hAnsi="宋体" w:eastAsia="宋体" w:cs="宋体"/>
          <w:sz w:val="24"/>
          <w:szCs w:val="24"/>
        </w:rPr>
        <w:t xml:space="preserve"> </w:t>
      </w:r>
      <w:r>
        <w:rPr>
          <w:rFonts w:ascii="宋体" w:hAnsi="宋体" w:eastAsia="宋体" w:cs="宋体"/>
          <w:spacing w:val="-1"/>
          <w:sz w:val="24"/>
          <w:szCs w:val="24"/>
        </w:rPr>
        <w:t>区分局向包头市生态环境局提出请求。</w:t>
      </w:r>
    </w:p>
    <w:p w14:paraId="0352436C">
      <w:pPr>
        <w:spacing w:before="62" w:line="219" w:lineRule="auto"/>
        <w:ind w:left="4"/>
        <w:outlineLvl w:val="1"/>
        <w:rPr>
          <w:rFonts w:ascii="宋体" w:hAnsi="宋体" w:eastAsia="宋体" w:cs="宋体"/>
          <w:sz w:val="28"/>
          <w:szCs w:val="28"/>
        </w:rPr>
      </w:pPr>
      <w:bookmarkStart w:id="31" w:name="bookmark24"/>
      <w:bookmarkEnd w:id="31"/>
      <w:r>
        <w:rPr>
          <w:rFonts w:ascii="宋体" w:hAnsi="宋体" w:eastAsia="宋体" w:cs="宋体"/>
          <w:b/>
          <w:bCs/>
          <w:spacing w:val="-1"/>
          <w:sz w:val="28"/>
          <w:szCs w:val="28"/>
        </w:rPr>
        <w:t>3.2现场应急指挥部</w:t>
      </w:r>
    </w:p>
    <w:p w14:paraId="4CAF2427">
      <w:pPr>
        <w:spacing w:before="247" w:line="357" w:lineRule="auto"/>
        <w:ind w:right="136" w:firstLine="499"/>
        <w:jc w:val="both"/>
        <w:rPr>
          <w:rFonts w:ascii="宋体" w:hAnsi="宋体" w:eastAsia="宋体" w:cs="宋体"/>
          <w:sz w:val="24"/>
          <w:szCs w:val="24"/>
        </w:rPr>
      </w:pPr>
      <w:r>
        <w:rPr>
          <w:rFonts w:ascii="宋体" w:hAnsi="宋体" w:eastAsia="宋体" w:cs="宋体"/>
          <w:spacing w:val="-2"/>
          <w:sz w:val="24"/>
          <w:szCs w:val="24"/>
        </w:rPr>
        <w:t>当包头市石拐区集中式饮用水水源地发生突发环境事件，立即成</w:t>
      </w:r>
      <w:r>
        <w:rPr>
          <w:rFonts w:ascii="宋体" w:hAnsi="宋体" w:eastAsia="宋体" w:cs="宋体"/>
          <w:spacing w:val="-3"/>
          <w:sz w:val="24"/>
          <w:szCs w:val="24"/>
        </w:rPr>
        <w:t>立现场环境</w:t>
      </w:r>
      <w:r>
        <w:rPr>
          <w:rFonts w:ascii="宋体" w:hAnsi="宋体" w:eastAsia="宋体" w:cs="宋体"/>
          <w:sz w:val="24"/>
          <w:szCs w:val="24"/>
        </w:rPr>
        <w:t xml:space="preserve"> </w:t>
      </w:r>
      <w:r>
        <w:rPr>
          <w:rFonts w:ascii="宋体" w:hAnsi="宋体" w:eastAsia="宋体" w:cs="宋体"/>
          <w:spacing w:val="-1"/>
          <w:sz w:val="24"/>
          <w:szCs w:val="24"/>
        </w:rPr>
        <w:t>应急救援指挥部开展应急处置工作。由石拐区</w:t>
      </w:r>
      <w:r>
        <w:rPr>
          <w:rFonts w:ascii="宋体" w:hAnsi="宋体" w:eastAsia="宋体" w:cs="宋体"/>
          <w:spacing w:val="-2"/>
          <w:sz w:val="24"/>
          <w:szCs w:val="24"/>
        </w:rPr>
        <w:t>政府联系环保工作的副区长为指挥</w:t>
      </w:r>
      <w:r>
        <w:rPr>
          <w:rFonts w:ascii="宋体" w:hAnsi="宋体" w:eastAsia="宋体" w:cs="宋体"/>
          <w:sz w:val="24"/>
          <w:szCs w:val="24"/>
        </w:rPr>
        <w:t xml:space="preserve"> </w:t>
      </w:r>
      <w:r>
        <w:rPr>
          <w:rFonts w:ascii="宋体" w:hAnsi="宋体" w:eastAsia="宋体" w:cs="宋体"/>
          <w:spacing w:val="-2"/>
          <w:sz w:val="24"/>
          <w:szCs w:val="24"/>
        </w:rPr>
        <w:t>长，石拐区政府办公室主任、包头市生态环境局石拐区分局局长、石拐区住建局</w:t>
      </w:r>
      <w:r>
        <w:rPr>
          <w:rFonts w:ascii="宋体" w:hAnsi="宋体" w:eastAsia="宋体" w:cs="宋体"/>
          <w:sz w:val="24"/>
          <w:szCs w:val="24"/>
        </w:rPr>
        <w:t xml:space="preserve"> </w:t>
      </w:r>
      <w:r>
        <w:rPr>
          <w:rFonts w:ascii="宋体" w:hAnsi="宋体" w:eastAsia="宋体" w:cs="宋体"/>
          <w:spacing w:val="-1"/>
          <w:sz w:val="24"/>
          <w:szCs w:val="24"/>
        </w:rPr>
        <w:t>局长为副指挥长。</w:t>
      </w:r>
      <w:r>
        <w:rPr>
          <w:rFonts w:ascii="宋体" w:hAnsi="宋体" w:eastAsia="宋体" w:cs="宋体"/>
          <w:color w:val="707070"/>
          <w:spacing w:val="-1"/>
          <w:sz w:val="24"/>
          <w:szCs w:val="24"/>
        </w:rPr>
        <w:t>其他应急组织成员单位</w:t>
      </w:r>
      <w:r>
        <w:rPr>
          <w:rFonts w:ascii="宋体" w:hAnsi="宋体" w:eastAsia="宋体" w:cs="宋体"/>
          <w:color w:val="506070"/>
          <w:spacing w:val="-1"/>
          <w:sz w:val="24"/>
          <w:szCs w:val="24"/>
        </w:rPr>
        <w:t>主要负责人均应</w:t>
      </w:r>
      <w:r>
        <w:rPr>
          <w:rFonts w:ascii="宋体" w:hAnsi="宋体" w:eastAsia="宋体" w:cs="宋体"/>
          <w:color w:val="506070"/>
          <w:spacing w:val="-2"/>
          <w:sz w:val="24"/>
          <w:szCs w:val="24"/>
        </w:rPr>
        <w:t>到场共同组成现场应急</w:t>
      </w:r>
      <w:r>
        <w:rPr>
          <w:rFonts w:ascii="宋体" w:hAnsi="宋体" w:eastAsia="宋体" w:cs="宋体"/>
          <w:color w:val="506070"/>
          <w:sz w:val="24"/>
          <w:szCs w:val="24"/>
        </w:rPr>
        <w:t xml:space="preserve"> </w:t>
      </w:r>
      <w:r>
        <w:rPr>
          <w:rFonts w:ascii="宋体" w:hAnsi="宋体" w:eastAsia="宋体" w:cs="宋体"/>
          <w:spacing w:val="-4"/>
          <w:sz w:val="24"/>
          <w:szCs w:val="24"/>
        </w:rPr>
        <w:t>指挥部。</w:t>
      </w:r>
    </w:p>
    <w:p w14:paraId="5803DC9D">
      <w:pPr>
        <w:spacing w:before="22" w:line="219" w:lineRule="auto"/>
        <w:rPr>
          <w:rFonts w:ascii="宋体" w:hAnsi="宋体" w:eastAsia="宋体" w:cs="宋体"/>
          <w:sz w:val="24"/>
          <w:szCs w:val="24"/>
        </w:rPr>
      </w:pPr>
      <w:r>
        <w:rPr>
          <w:rFonts w:ascii="宋体" w:hAnsi="宋体" w:eastAsia="宋体" w:cs="宋体"/>
          <w:sz w:val="24"/>
          <w:szCs w:val="24"/>
        </w:rPr>
        <w:t>所有参与应急救援的队伍和人员必须服从应急救援指挥部的指挥。</w:t>
      </w:r>
    </w:p>
    <w:p w14:paraId="76782567">
      <w:pPr>
        <w:spacing w:before="175" w:line="219" w:lineRule="auto"/>
        <w:ind w:left="499"/>
        <w:rPr>
          <w:rFonts w:ascii="宋体" w:hAnsi="宋体" w:eastAsia="宋体" w:cs="宋体"/>
          <w:sz w:val="24"/>
          <w:szCs w:val="24"/>
        </w:rPr>
      </w:pPr>
      <w:r>
        <w:rPr>
          <w:rFonts w:ascii="宋体" w:hAnsi="宋体" w:eastAsia="宋体" w:cs="宋体"/>
          <w:spacing w:val="-6"/>
          <w:sz w:val="24"/>
          <w:szCs w:val="24"/>
        </w:rPr>
        <w:t>现场应急指挥部主要职责：</w:t>
      </w:r>
    </w:p>
    <w:p w14:paraId="322EE939">
      <w:pPr>
        <w:spacing w:before="195" w:line="219" w:lineRule="auto"/>
        <w:ind w:left="350"/>
        <w:rPr>
          <w:rFonts w:ascii="宋体" w:hAnsi="宋体" w:eastAsia="宋体" w:cs="宋体"/>
          <w:sz w:val="24"/>
          <w:szCs w:val="24"/>
        </w:rPr>
      </w:pPr>
      <w:r>
        <w:rPr>
          <w:rFonts w:ascii="宋体" w:hAnsi="宋体" w:eastAsia="宋体" w:cs="宋体"/>
          <w:spacing w:val="3"/>
          <w:sz w:val="24"/>
          <w:szCs w:val="24"/>
        </w:rPr>
        <w:t>(1)向有关专家咨询，根据专家意见提出现场应急行动方案和措施。</w:t>
      </w:r>
    </w:p>
    <w:p w14:paraId="25002376">
      <w:pPr>
        <w:spacing w:before="165" w:line="219" w:lineRule="auto"/>
        <w:ind w:left="350"/>
        <w:rPr>
          <w:rFonts w:ascii="宋体" w:hAnsi="宋体" w:eastAsia="宋体" w:cs="宋体"/>
          <w:sz w:val="24"/>
          <w:szCs w:val="24"/>
        </w:rPr>
      </w:pPr>
      <w:r>
        <w:rPr>
          <w:rFonts w:ascii="宋体" w:hAnsi="宋体" w:eastAsia="宋体" w:cs="宋体"/>
          <w:spacing w:val="6"/>
          <w:sz w:val="24"/>
          <w:szCs w:val="24"/>
        </w:rPr>
        <w:t>(2)负责现场应急救援指挥工作。</w:t>
      </w:r>
    </w:p>
    <w:p w14:paraId="45DA4E5F">
      <w:pPr>
        <w:spacing w:before="205" w:line="219" w:lineRule="auto"/>
        <w:ind w:left="350"/>
        <w:rPr>
          <w:rFonts w:ascii="宋体" w:hAnsi="宋体" w:eastAsia="宋体" w:cs="宋体"/>
          <w:sz w:val="24"/>
          <w:szCs w:val="24"/>
        </w:rPr>
      </w:pPr>
      <w:r>
        <w:rPr>
          <w:rFonts w:ascii="宋体" w:hAnsi="宋体" w:eastAsia="宋体" w:cs="宋体"/>
          <w:spacing w:val="5"/>
          <w:sz w:val="24"/>
          <w:szCs w:val="24"/>
        </w:rPr>
        <w:t>(3)协调各级、各专业应急力量实施应急支援行动。</w:t>
      </w:r>
    </w:p>
    <w:p w14:paraId="3BDD6978">
      <w:pPr>
        <w:spacing w:before="176" w:line="220" w:lineRule="auto"/>
        <w:ind w:left="350"/>
        <w:rPr>
          <w:rFonts w:ascii="宋体" w:hAnsi="宋体" w:eastAsia="宋体" w:cs="宋体"/>
          <w:sz w:val="24"/>
          <w:szCs w:val="24"/>
        </w:rPr>
      </w:pPr>
      <w:r>
        <w:rPr>
          <w:rFonts w:ascii="宋体" w:hAnsi="宋体" w:eastAsia="宋体" w:cs="宋体"/>
          <w:spacing w:val="5"/>
          <w:sz w:val="24"/>
          <w:szCs w:val="24"/>
        </w:rPr>
        <w:t>(4)开展受威胁的周边地区危险源的监控工作。</w:t>
      </w:r>
    </w:p>
    <w:p w14:paraId="5800E2ED">
      <w:pPr>
        <w:spacing w:before="184" w:line="219" w:lineRule="auto"/>
        <w:ind w:left="350"/>
        <w:rPr>
          <w:rFonts w:ascii="宋体" w:hAnsi="宋体" w:eastAsia="宋体" w:cs="宋体"/>
          <w:sz w:val="24"/>
          <w:szCs w:val="24"/>
        </w:rPr>
      </w:pPr>
      <w:r>
        <w:rPr>
          <w:rFonts w:ascii="宋体" w:hAnsi="宋体" w:eastAsia="宋体" w:cs="宋体"/>
          <w:spacing w:val="4"/>
          <w:sz w:val="24"/>
          <w:szCs w:val="24"/>
        </w:rPr>
        <w:t>(5)划定建立现场警戒区和交通管制区域，确定重点防护区域。</w:t>
      </w:r>
    </w:p>
    <w:p w14:paraId="0B2252D8">
      <w:pPr>
        <w:spacing w:before="185" w:line="219" w:lineRule="auto"/>
        <w:ind w:left="350"/>
        <w:rPr>
          <w:rFonts w:ascii="宋体" w:hAnsi="宋体" w:eastAsia="宋体" w:cs="宋体"/>
          <w:sz w:val="24"/>
          <w:szCs w:val="24"/>
        </w:rPr>
      </w:pPr>
      <w:r>
        <w:rPr>
          <w:rFonts w:ascii="宋体" w:hAnsi="宋体" w:eastAsia="宋体" w:cs="宋体"/>
          <w:spacing w:val="-1"/>
          <w:sz w:val="24"/>
          <w:szCs w:val="24"/>
        </w:rPr>
        <w:t>(6)</w:t>
      </w:r>
      <w:r>
        <w:rPr>
          <w:rFonts w:ascii="宋体" w:hAnsi="宋体" w:eastAsia="宋体" w:cs="宋体"/>
          <w:spacing w:val="35"/>
          <w:sz w:val="24"/>
          <w:szCs w:val="24"/>
        </w:rPr>
        <w:t xml:space="preserve"> </w:t>
      </w:r>
      <w:r>
        <w:rPr>
          <w:rFonts w:ascii="宋体" w:hAnsi="宋体" w:eastAsia="宋体" w:cs="宋体"/>
          <w:spacing w:val="-1"/>
          <w:sz w:val="24"/>
          <w:szCs w:val="24"/>
        </w:rPr>
        <w:t>根据现场监测结果，确定被转移、疏散群众返回时间。</w:t>
      </w:r>
    </w:p>
    <w:p w14:paraId="09E317C4">
      <w:pPr>
        <w:spacing w:before="183" w:line="218" w:lineRule="auto"/>
        <w:ind w:left="350"/>
        <w:rPr>
          <w:rFonts w:ascii="宋体" w:hAnsi="宋体" w:eastAsia="宋体" w:cs="宋体"/>
          <w:sz w:val="24"/>
          <w:szCs w:val="24"/>
        </w:rPr>
      </w:pPr>
      <w:r>
        <w:rPr>
          <w:rFonts w:ascii="宋体" w:hAnsi="宋体" w:eastAsia="宋体" w:cs="宋体"/>
          <w:color w:val="506070"/>
          <w:sz w:val="24"/>
          <w:szCs w:val="24"/>
        </w:rPr>
        <w:t>(7) 及时向县政府及省政府报告应急行动的进展情</w:t>
      </w:r>
      <w:r>
        <w:rPr>
          <w:rFonts w:ascii="宋体" w:hAnsi="宋体" w:eastAsia="宋体" w:cs="宋体"/>
          <w:color w:val="506070"/>
          <w:spacing w:val="-1"/>
          <w:sz w:val="24"/>
          <w:szCs w:val="24"/>
        </w:rPr>
        <w:t>况。</w:t>
      </w:r>
    </w:p>
    <w:p w14:paraId="225E60A2">
      <w:pPr>
        <w:spacing w:before="208" w:line="220" w:lineRule="auto"/>
        <w:ind w:left="4"/>
        <w:outlineLvl w:val="1"/>
        <w:rPr>
          <w:rFonts w:ascii="宋体" w:hAnsi="宋体" w:eastAsia="宋体" w:cs="宋体"/>
          <w:sz w:val="31"/>
          <w:szCs w:val="31"/>
        </w:rPr>
      </w:pPr>
      <w:bookmarkStart w:id="32" w:name="bookmark25"/>
      <w:bookmarkEnd w:id="32"/>
      <w:r>
        <w:rPr>
          <w:rFonts w:ascii="宋体" w:hAnsi="宋体" w:eastAsia="宋体" w:cs="宋体"/>
          <w:b/>
          <w:bCs/>
          <w:spacing w:val="-24"/>
          <w:sz w:val="31"/>
          <w:szCs w:val="31"/>
        </w:rPr>
        <w:t>3.3现场应急工作组</w:t>
      </w:r>
    </w:p>
    <w:p w14:paraId="096CDB27">
      <w:pPr>
        <w:spacing w:before="243" w:line="357" w:lineRule="auto"/>
        <w:ind w:right="143" w:firstLine="499"/>
        <w:rPr>
          <w:rFonts w:ascii="宋体" w:hAnsi="宋体" w:eastAsia="宋体" w:cs="宋体"/>
          <w:sz w:val="24"/>
          <w:szCs w:val="24"/>
        </w:rPr>
      </w:pPr>
      <w:r>
        <w:rPr>
          <w:rFonts w:ascii="宋体" w:hAnsi="宋体" w:eastAsia="宋体" w:cs="宋体"/>
          <w:spacing w:val="1"/>
          <w:sz w:val="24"/>
          <w:szCs w:val="24"/>
        </w:rPr>
        <w:t>包头市石拐区集中式饮用水水源地发生突发环境事件现场应急指挥部</w:t>
      </w:r>
      <w:r>
        <w:rPr>
          <w:rFonts w:ascii="宋体" w:hAnsi="宋体" w:eastAsia="宋体" w:cs="宋体"/>
          <w:sz w:val="24"/>
          <w:szCs w:val="24"/>
        </w:rPr>
        <w:t xml:space="preserve">下设  </w:t>
      </w:r>
      <w:r>
        <w:rPr>
          <w:rFonts w:ascii="宋体" w:hAnsi="宋体" w:eastAsia="宋体" w:cs="宋体"/>
          <w:spacing w:val="-1"/>
          <w:sz w:val="24"/>
          <w:szCs w:val="24"/>
        </w:rPr>
        <w:t>综合协调组、应急处置组、应急监测组、应</w:t>
      </w:r>
      <w:r>
        <w:rPr>
          <w:rFonts w:ascii="宋体" w:hAnsi="宋体" w:eastAsia="宋体" w:cs="宋体"/>
          <w:spacing w:val="-2"/>
          <w:sz w:val="24"/>
          <w:szCs w:val="24"/>
        </w:rPr>
        <w:t>急供水保障组、应急物资保障组、应</w:t>
      </w:r>
      <w:r>
        <w:rPr>
          <w:rFonts w:ascii="宋体" w:hAnsi="宋体" w:eastAsia="宋体" w:cs="宋体"/>
          <w:sz w:val="24"/>
          <w:szCs w:val="24"/>
        </w:rPr>
        <w:t xml:space="preserve"> 急专家组、医疗救护组、社会维稳组9个应急工作组，组织实施应急处理工作。</w:t>
      </w:r>
      <w:r>
        <w:rPr>
          <w:rFonts w:ascii="宋体" w:hAnsi="宋体" w:eastAsia="宋体" w:cs="宋体"/>
          <w:spacing w:val="9"/>
          <w:sz w:val="24"/>
          <w:szCs w:val="24"/>
        </w:rPr>
        <w:t xml:space="preserve"> </w:t>
      </w:r>
      <w:r>
        <w:rPr>
          <w:rFonts w:ascii="宋体" w:hAnsi="宋体" w:eastAsia="宋体" w:cs="宋体"/>
          <w:spacing w:val="1"/>
          <w:sz w:val="24"/>
          <w:szCs w:val="24"/>
        </w:rPr>
        <w:t>各应急工作组组成、主要负责人和联系方式及应急职责见表3-2。</w:t>
      </w:r>
    </w:p>
    <w:p w14:paraId="2E28750F">
      <w:pPr>
        <w:spacing w:line="357" w:lineRule="auto"/>
        <w:rPr>
          <w:rFonts w:ascii="宋体" w:hAnsi="宋体" w:eastAsia="宋体" w:cs="宋体"/>
          <w:sz w:val="24"/>
          <w:szCs w:val="24"/>
        </w:rPr>
        <w:sectPr>
          <w:footerReference r:id="rId19" w:type="default"/>
          <w:pgSz w:w="11910" w:h="16850"/>
          <w:pgMar w:top="1411" w:right="1786" w:bottom="1548" w:left="1630" w:header="0" w:footer="1329" w:gutter="0"/>
          <w:cols w:space="720" w:num="1"/>
        </w:sectPr>
      </w:pPr>
    </w:p>
    <w:p w14:paraId="35C36102">
      <w:pPr>
        <w:spacing w:line="358" w:lineRule="auto"/>
        <w:rPr>
          <w:rFonts w:ascii="Arial"/>
          <w:sz w:val="21"/>
        </w:rPr>
      </w:pPr>
    </w:p>
    <w:p w14:paraId="3B2B2EAF">
      <w:pPr>
        <w:spacing w:line="358" w:lineRule="auto"/>
        <w:rPr>
          <w:rFonts w:ascii="Arial"/>
          <w:sz w:val="21"/>
        </w:rPr>
      </w:pPr>
    </w:p>
    <w:p w14:paraId="50189FD4">
      <w:pPr>
        <w:spacing w:before="84" w:line="220" w:lineRule="auto"/>
        <w:ind w:left="6068"/>
        <w:rPr>
          <w:rFonts w:ascii="宋体" w:hAnsi="宋体" w:eastAsia="宋体" w:cs="宋体"/>
          <w:sz w:val="26"/>
          <w:szCs w:val="26"/>
        </w:rPr>
      </w:pPr>
      <w:bookmarkStart w:id="33" w:name="bookmark76"/>
      <w:bookmarkEnd w:id="33"/>
      <w:r>
        <w:rPr>
          <w:rFonts w:ascii="宋体" w:hAnsi="宋体" w:eastAsia="宋体" w:cs="宋体"/>
          <w:b/>
          <w:bCs/>
          <w:spacing w:val="-4"/>
          <w:sz w:val="26"/>
          <w:szCs w:val="26"/>
        </w:rPr>
        <w:t>表3-2应急工作组职责</w:t>
      </w:r>
    </w:p>
    <w:p w14:paraId="0F4D34E5">
      <w:pPr>
        <w:spacing w:line="57" w:lineRule="exact"/>
      </w:pPr>
    </w:p>
    <w:tbl>
      <w:tblPr>
        <w:tblStyle w:val="5"/>
        <w:tblW w:w="13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4"/>
        <w:gridCol w:w="2388"/>
        <w:gridCol w:w="2548"/>
        <w:gridCol w:w="2698"/>
        <w:gridCol w:w="4316"/>
      </w:tblGrid>
      <w:tr w14:paraId="51B12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372" w:type="dxa"/>
            <w:gridSpan w:val="2"/>
            <w:vAlign w:val="top"/>
          </w:tcPr>
          <w:p w14:paraId="5995524D">
            <w:pPr>
              <w:pStyle w:val="6"/>
              <w:spacing w:before="51" w:line="220" w:lineRule="auto"/>
              <w:ind w:left="1438"/>
            </w:pPr>
            <w:r>
              <w:rPr>
                <w:b/>
                <w:bCs/>
                <w:color w:val="606070"/>
                <w:spacing w:val="-4"/>
              </w:rPr>
              <w:t>应急工作组组成</w:t>
            </w:r>
          </w:p>
        </w:tc>
        <w:tc>
          <w:tcPr>
            <w:tcW w:w="2548" w:type="dxa"/>
            <w:vAlign w:val="top"/>
          </w:tcPr>
          <w:p w14:paraId="7DCB8BC0">
            <w:pPr>
              <w:pStyle w:val="6"/>
              <w:spacing w:before="50" w:line="219" w:lineRule="auto"/>
              <w:ind w:left="215"/>
            </w:pPr>
            <w:r>
              <w:rPr>
                <w:b/>
                <w:bCs/>
                <w:color w:val="505050"/>
                <w:spacing w:val="-3"/>
              </w:rPr>
              <w:t>主要负责人和</w:t>
            </w:r>
            <w:r>
              <w:rPr>
                <w:b/>
                <w:bCs/>
                <w:spacing w:val="-3"/>
              </w:rPr>
              <w:t>联系电话</w:t>
            </w:r>
          </w:p>
        </w:tc>
        <w:tc>
          <w:tcPr>
            <w:tcW w:w="2698" w:type="dxa"/>
            <w:vAlign w:val="top"/>
          </w:tcPr>
          <w:p w14:paraId="0E4366C6">
            <w:pPr>
              <w:pStyle w:val="6"/>
              <w:spacing w:before="51" w:line="220" w:lineRule="auto"/>
              <w:ind w:left="928"/>
            </w:pPr>
            <w:r>
              <w:rPr>
                <w:b/>
                <w:bCs/>
                <w:color w:val="406050"/>
                <w:spacing w:val="-16"/>
              </w:rPr>
              <w:t>日</w:t>
            </w:r>
            <w:r>
              <w:rPr>
                <w:color w:val="406050"/>
                <w:spacing w:val="-60"/>
              </w:rPr>
              <w:t xml:space="preserve"> </w:t>
            </w:r>
            <w:r>
              <w:rPr>
                <w:b/>
                <w:bCs/>
                <w:color w:val="505060"/>
                <w:spacing w:val="-16"/>
              </w:rPr>
              <w:t>常职位</w:t>
            </w:r>
          </w:p>
        </w:tc>
        <w:tc>
          <w:tcPr>
            <w:tcW w:w="4316" w:type="dxa"/>
            <w:vAlign w:val="top"/>
          </w:tcPr>
          <w:p w14:paraId="5BAB94A2">
            <w:pPr>
              <w:pStyle w:val="6"/>
              <w:spacing w:before="51" w:line="221" w:lineRule="auto"/>
              <w:ind w:left="1729"/>
            </w:pPr>
            <w:r>
              <w:rPr>
                <w:b/>
                <w:bCs/>
                <w:color w:val="404040"/>
                <w:spacing w:val="-4"/>
              </w:rPr>
              <w:t>应急职责</w:t>
            </w:r>
          </w:p>
        </w:tc>
      </w:tr>
      <w:tr w14:paraId="20A49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984" w:type="dxa"/>
            <w:vMerge w:val="restart"/>
            <w:tcBorders>
              <w:bottom w:val="nil"/>
            </w:tcBorders>
            <w:vAlign w:val="top"/>
          </w:tcPr>
          <w:p w14:paraId="6A65D6E9">
            <w:pPr>
              <w:spacing w:line="448" w:lineRule="auto"/>
              <w:rPr>
                <w:rFonts w:ascii="Arial"/>
                <w:sz w:val="21"/>
              </w:rPr>
            </w:pPr>
          </w:p>
          <w:p w14:paraId="182DC0BF">
            <w:pPr>
              <w:pStyle w:val="6"/>
              <w:spacing w:before="68" w:line="220" w:lineRule="auto"/>
              <w:ind w:left="455"/>
            </w:pPr>
            <w:r>
              <w:rPr>
                <w:spacing w:val="-2"/>
              </w:rPr>
              <w:t>综合协调组</w:t>
            </w:r>
          </w:p>
        </w:tc>
        <w:tc>
          <w:tcPr>
            <w:tcW w:w="2388" w:type="dxa"/>
            <w:vAlign w:val="top"/>
          </w:tcPr>
          <w:p w14:paraId="6E207B1D">
            <w:pPr>
              <w:pStyle w:val="6"/>
              <w:spacing w:before="198" w:line="219" w:lineRule="auto"/>
              <w:ind w:left="341"/>
            </w:pPr>
            <w:r>
              <w:rPr>
                <w:spacing w:val="2"/>
              </w:rPr>
              <w:t>石拐区应急管理局</w:t>
            </w:r>
          </w:p>
        </w:tc>
        <w:tc>
          <w:tcPr>
            <w:tcW w:w="2548" w:type="dxa"/>
            <w:vAlign w:val="top"/>
          </w:tcPr>
          <w:p w14:paraId="606F146E">
            <w:pPr>
              <w:pStyle w:val="6"/>
              <w:spacing w:before="198" w:line="219" w:lineRule="auto"/>
              <w:ind w:left="373"/>
            </w:pPr>
            <w:r>
              <w:rPr>
                <w:spacing w:val="-1"/>
              </w:rPr>
              <w:t>李新明13847259566</w:t>
            </w:r>
          </w:p>
        </w:tc>
        <w:tc>
          <w:tcPr>
            <w:tcW w:w="2698" w:type="dxa"/>
            <w:vAlign w:val="top"/>
          </w:tcPr>
          <w:p w14:paraId="303E94D5">
            <w:pPr>
              <w:pStyle w:val="6"/>
              <w:spacing w:before="199" w:line="221" w:lineRule="auto"/>
              <w:ind w:left="1135"/>
            </w:pPr>
            <w:r>
              <w:rPr>
                <w:spacing w:val="4"/>
              </w:rPr>
              <w:t>局长</w:t>
            </w:r>
          </w:p>
        </w:tc>
        <w:tc>
          <w:tcPr>
            <w:tcW w:w="4316" w:type="dxa"/>
            <w:vMerge w:val="restart"/>
            <w:tcBorders>
              <w:bottom w:val="nil"/>
            </w:tcBorders>
            <w:vAlign w:val="top"/>
          </w:tcPr>
          <w:p w14:paraId="3B02109B">
            <w:pPr>
              <w:pStyle w:val="6"/>
              <w:spacing w:before="56" w:line="258" w:lineRule="auto"/>
              <w:ind w:left="107"/>
            </w:pPr>
            <w:r>
              <w:rPr>
                <w:spacing w:val="-1"/>
              </w:rPr>
              <w:t>在指挥部领导下，履行会议组织、信息汇总、</w:t>
            </w:r>
            <w:r>
              <w:rPr>
                <w:spacing w:val="17"/>
              </w:rPr>
              <w:t xml:space="preserve"> </w:t>
            </w:r>
            <w:r>
              <w:rPr>
                <w:spacing w:val="-5"/>
              </w:rPr>
              <w:t>综合协调和资料管理等职责。</w:t>
            </w:r>
          </w:p>
        </w:tc>
      </w:tr>
      <w:tr w14:paraId="2B2C0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984" w:type="dxa"/>
            <w:vMerge w:val="continue"/>
            <w:tcBorders>
              <w:top w:val="nil"/>
            </w:tcBorders>
            <w:vAlign w:val="top"/>
          </w:tcPr>
          <w:p w14:paraId="542BCA9E">
            <w:pPr>
              <w:rPr>
                <w:rFonts w:ascii="Arial"/>
                <w:sz w:val="21"/>
              </w:rPr>
            </w:pPr>
          </w:p>
        </w:tc>
        <w:tc>
          <w:tcPr>
            <w:tcW w:w="2388" w:type="dxa"/>
            <w:vAlign w:val="top"/>
          </w:tcPr>
          <w:p w14:paraId="2A792814">
            <w:pPr>
              <w:pStyle w:val="6"/>
              <w:spacing w:before="58" w:line="242" w:lineRule="auto"/>
              <w:ind w:left="870" w:right="131" w:hanging="739"/>
            </w:pPr>
            <w:r>
              <w:rPr>
                <w:spacing w:val="1"/>
              </w:rPr>
              <w:t>包头市生态环境局石拐</w:t>
            </w:r>
            <w:r>
              <w:rPr>
                <w:spacing w:val="4"/>
              </w:rPr>
              <w:t xml:space="preserve"> </w:t>
            </w:r>
            <w:r>
              <w:rPr>
                <w:spacing w:val="6"/>
              </w:rPr>
              <w:t>区分局</w:t>
            </w:r>
          </w:p>
        </w:tc>
        <w:tc>
          <w:tcPr>
            <w:tcW w:w="2548" w:type="dxa"/>
            <w:vAlign w:val="top"/>
          </w:tcPr>
          <w:p w14:paraId="531A5468">
            <w:pPr>
              <w:pStyle w:val="6"/>
              <w:spacing w:before="209" w:line="219" w:lineRule="auto"/>
              <w:ind w:left="373"/>
            </w:pPr>
            <w:r>
              <w:rPr>
                <w:spacing w:val="-1"/>
              </w:rPr>
              <w:t>姬东英15547254454</w:t>
            </w:r>
          </w:p>
        </w:tc>
        <w:tc>
          <w:tcPr>
            <w:tcW w:w="2698" w:type="dxa"/>
            <w:vAlign w:val="top"/>
          </w:tcPr>
          <w:p w14:paraId="0D2DDC54">
            <w:pPr>
              <w:pStyle w:val="6"/>
              <w:spacing w:before="209" w:line="219" w:lineRule="auto"/>
              <w:ind w:left="1024"/>
            </w:pPr>
            <w:r>
              <w:rPr>
                <w:spacing w:val="3"/>
              </w:rPr>
              <w:t>副局长</w:t>
            </w:r>
          </w:p>
        </w:tc>
        <w:tc>
          <w:tcPr>
            <w:tcW w:w="4316" w:type="dxa"/>
            <w:vMerge w:val="continue"/>
            <w:tcBorders>
              <w:top w:val="nil"/>
            </w:tcBorders>
            <w:vAlign w:val="top"/>
          </w:tcPr>
          <w:p w14:paraId="7EE39792">
            <w:pPr>
              <w:rPr>
                <w:rFonts w:ascii="Arial"/>
                <w:sz w:val="21"/>
              </w:rPr>
            </w:pPr>
          </w:p>
        </w:tc>
      </w:tr>
      <w:tr w14:paraId="6671E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984" w:type="dxa"/>
            <w:vMerge w:val="restart"/>
            <w:tcBorders>
              <w:bottom w:val="nil"/>
            </w:tcBorders>
            <w:vAlign w:val="top"/>
          </w:tcPr>
          <w:p w14:paraId="342EDCE0">
            <w:pPr>
              <w:rPr>
                <w:rFonts w:ascii="Arial"/>
                <w:sz w:val="21"/>
              </w:rPr>
            </w:pPr>
          </w:p>
          <w:p w14:paraId="6AAB5BA3">
            <w:pPr>
              <w:rPr>
                <w:rFonts w:ascii="Arial"/>
                <w:sz w:val="21"/>
              </w:rPr>
            </w:pPr>
          </w:p>
          <w:p w14:paraId="234D871E">
            <w:pPr>
              <w:rPr>
                <w:rFonts w:ascii="Arial"/>
                <w:sz w:val="21"/>
              </w:rPr>
            </w:pPr>
          </w:p>
          <w:p w14:paraId="314DA839">
            <w:pPr>
              <w:pStyle w:val="6"/>
              <w:spacing w:before="68" w:line="221" w:lineRule="auto"/>
              <w:ind w:left="455"/>
            </w:pPr>
            <w:r>
              <w:rPr>
                <w:spacing w:val="-2"/>
              </w:rPr>
              <w:t>应急处置组</w:t>
            </w:r>
          </w:p>
        </w:tc>
        <w:tc>
          <w:tcPr>
            <w:tcW w:w="2388" w:type="dxa"/>
            <w:vAlign w:val="top"/>
          </w:tcPr>
          <w:p w14:paraId="3A3AC975">
            <w:pPr>
              <w:pStyle w:val="6"/>
              <w:spacing w:before="59" w:line="246" w:lineRule="auto"/>
              <w:ind w:left="870" w:right="131" w:hanging="739"/>
            </w:pPr>
            <w:r>
              <w:rPr>
                <w:spacing w:val="1"/>
              </w:rPr>
              <w:t>包头市生态环境局石拐</w:t>
            </w:r>
            <w:r>
              <w:rPr>
                <w:spacing w:val="4"/>
              </w:rPr>
              <w:t xml:space="preserve"> </w:t>
            </w:r>
            <w:r>
              <w:rPr>
                <w:spacing w:val="6"/>
              </w:rPr>
              <w:t>区分局</w:t>
            </w:r>
          </w:p>
        </w:tc>
        <w:tc>
          <w:tcPr>
            <w:tcW w:w="2548" w:type="dxa"/>
            <w:vAlign w:val="top"/>
          </w:tcPr>
          <w:p w14:paraId="1AE7628D">
            <w:pPr>
              <w:pStyle w:val="6"/>
              <w:spacing w:before="209" w:line="219" w:lineRule="auto"/>
              <w:ind w:left="373"/>
            </w:pPr>
            <w:r>
              <w:t>陈权罡13847281705</w:t>
            </w:r>
          </w:p>
        </w:tc>
        <w:tc>
          <w:tcPr>
            <w:tcW w:w="2698" w:type="dxa"/>
            <w:vAlign w:val="top"/>
          </w:tcPr>
          <w:p w14:paraId="508D76D2">
            <w:pPr>
              <w:pStyle w:val="6"/>
              <w:spacing w:before="210" w:line="219" w:lineRule="auto"/>
              <w:ind w:left="604"/>
            </w:pPr>
            <w:r>
              <w:rPr>
                <w:spacing w:val="-2"/>
              </w:rPr>
              <w:t>监察大队大队长</w:t>
            </w:r>
          </w:p>
        </w:tc>
        <w:tc>
          <w:tcPr>
            <w:tcW w:w="4316" w:type="dxa"/>
            <w:vMerge w:val="restart"/>
            <w:tcBorders>
              <w:bottom w:val="nil"/>
            </w:tcBorders>
            <w:vAlign w:val="top"/>
          </w:tcPr>
          <w:p w14:paraId="38F581AA">
            <w:pPr>
              <w:pStyle w:val="6"/>
              <w:spacing w:before="60" w:line="219" w:lineRule="auto"/>
              <w:ind w:left="107"/>
            </w:pPr>
            <w:r>
              <w:rPr>
                <w:color w:val="304040"/>
                <w:spacing w:val="6"/>
              </w:rPr>
              <w:t>(1)负责组织制定应急处置方案；</w:t>
            </w:r>
          </w:p>
          <w:p w14:paraId="38FE198B">
            <w:pPr>
              <w:pStyle w:val="6"/>
              <w:spacing w:before="40" w:line="259" w:lineRule="auto"/>
              <w:ind w:left="107" w:right="210" w:firstLine="89"/>
            </w:pPr>
            <w:r>
              <w:rPr>
                <w:color w:val="405060"/>
              </w:rPr>
              <w:t>(2)负责现场污染物消除、</w:t>
            </w:r>
            <w:r>
              <w:rPr>
                <w:color w:val="304040"/>
              </w:rPr>
              <w:t>围堵和削减，以</w:t>
            </w:r>
            <w:r>
              <w:rPr>
                <w:color w:val="304040"/>
                <w:spacing w:val="12"/>
              </w:rPr>
              <w:t xml:space="preserve"> </w:t>
            </w:r>
            <w:r>
              <w:rPr>
                <w:color w:val="304040"/>
              </w:rPr>
              <w:t>及污染物收集、转运和异地处置等工作。</w:t>
            </w:r>
          </w:p>
        </w:tc>
      </w:tr>
      <w:tr w14:paraId="62DA5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984" w:type="dxa"/>
            <w:vMerge w:val="continue"/>
            <w:tcBorders>
              <w:top w:val="nil"/>
              <w:bottom w:val="nil"/>
            </w:tcBorders>
            <w:vAlign w:val="top"/>
          </w:tcPr>
          <w:p w14:paraId="4A3A45F2">
            <w:pPr>
              <w:rPr>
                <w:rFonts w:ascii="Arial"/>
                <w:sz w:val="21"/>
              </w:rPr>
            </w:pPr>
          </w:p>
        </w:tc>
        <w:tc>
          <w:tcPr>
            <w:tcW w:w="2388" w:type="dxa"/>
            <w:vAlign w:val="top"/>
          </w:tcPr>
          <w:p w14:paraId="5177CFFB">
            <w:pPr>
              <w:pStyle w:val="6"/>
              <w:spacing w:before="82" w:line="220" w:lineRule="auto"/>
              <w:ind w:left="451"/>
            </w:pPr>
            <w:r>
              <w:rPr>
                <w:spacing w:val="1"/>
              </w:rPr>
              <w:t>石拐区消防大队</w:t>
            </w:r>
          </w:p>
        </w:tc>
        <w:tc>
          <w:tcPr>
            <w:tcW w:w="2548" w:type="dxa"/>
            <w:vAlign w:val="top"/>
          </w:tcPr>
          <w:p w14:paraId="78B57779">
            <w:pPr>
              <w:pStyle w:val="6"/>
              <w:spacing w:before="82" w:line="220" w:lineRule="auto"/>
              <w:ind w:left="373"/>
            </w:pPr>
            <w:r>
              <w:rPr>
                <w:spacing w:val="-1"/>
              </w:rPr>
              <w:t>苗永旺15849256999</w:t>
            </w:r>
          </w:p>
        </w:tc>
        <w:tc>
          <w:tcPr>
            <w:tcW w:w="2698" w:type="dxa"/>
            <w:vAlign w:val="top"/>
          </w:tcPr>
          <w:p w14:paraId="08930BE4">
            <w:pPr>
              <w:pStyle w:val="6"/>
              <w:spacing w:before="85" w:line="223" w:lineRule="auto"/>
              <w:ind w:left="1135"/>
            </w:pPr>
            <w:r>
              <w:rPr>
                <w:spacing w:val="4"/>
              </w:rPr>
              <w:t>队长</w:t>
            </w:r>
          </w:p>
        </w:tc>
        <w:tc>
          <w:tcPr>
            <w:tcW w:w="4316" w:type="dxa"/>
            <w:vMerge w:val="continue"/>
            <w:tcBorders>
              <w:top w:val="nil"/>
              <w:bottom w:val="nil"/>
            </w:tcBorders>
            <w:vAlign w:val="top"/>
          </w:tcPr>
          <w:p w14:paraId="231476C8">
            <w:pPr>
              <w:rPr>
                <w:rFonts w:ascii="Arial"/>
                <w:sz w:val="21"/>
              </w:rPr>
            </w:pPr>
          </w:p>
        </w:tc>
      </w:tr>
      <w:tr w14:paraId="70702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984" w:type="dxa"/>
            <w:vMerge w:val="continue"/>
            <w:tcBorders>
              <w:top w:val="nil"/>
              <w:bottom w:val="nil"/>
            </w:tcBorders>
            <w:vAlign w:val="top"/>
          </w:tcPr>
          <w:p w14:paraId="3B2C08F4">
            <w:pPr>
              <w:rPr>
                <w:rFonts w:ascii="Arial"/>
                <w:sz w:val="21"/>
              </w:rPr>
            </w:pPr>
          </w:p>
        </w:tc>
        <w:tc>
          <w:tcPr>
            <w:tcW w:w="2388" w:type="dxa"/>
            <w:vAlign w:val="top"/>
          </w:tcPr>
          <w:p w14:paraId="6AC78C1E">
            <w:pPr>
              <w:pStyle w:val="6"/>
              <w:spacing w:before="52" w:line="218" w:lineRule="auto"/>
              <w:ind w:left="720"/>
            </w:pPr>
            <w:r>
              <w:rPr>
                <w:spacing w:val="3"/>
              </w:rPr>
              <w:t>石拐区农牧局</w:t>
            </w:r>
          </w:p>
        </w:tc>
        <w:tc>
          <w:tcPr>
            <w:tcW w:w="2548" w:type="dxa"/>
            <w:vAlign w:val="top"/>
          </w:tcPr>
          <w:p w14:paraId="150EB4DA">
            <w:pPr>
              <w:pStyle w:val="6"/>
              <w:spacing w:before="52" w:line="218" w:lineRule="auto"/>
              <w:ind w:left="373"/>
            </w:pPr>
            <w:r>
              <w:rPr>
                <w:spacing w:val="-1"/>
              </w:rPr>
              <w:t>贾严迪15147280006</w:t>
            </w:r>
          </w:p>
        </w:tc>
        <w:tc>
          <w:tcPr>
            <w:tcW w:w="2698" w:type="dxa"/>
            <w:vAlign w:val="top"/>
          </w:tcPr>
          <w:p w14:paraId="2B6F6847">
            <w:pPr>
              <w:pStyle w:val="6"/>
              <w:spacing w:before="52" w:line="218" w:lineRule="auto"/>
              <w:ind w:left="1024"/>
            </w:pPr>
            <w:r>
              <w:rPr>
                <w:spacing w:val="3"/>
              </w:rPr>
              <w:t>副局长</w:t>
            </w:r>
          </w:p>
        </w:tc>
        <w:tc>
          <w:tcPr>
            <w:tcW w:w="4316" w:type="dxa"/>
            <w:vMerge w:val="continue"/>
            <w:tcBorders>
              <w:top w:val="nil"/>
              <w:bottom w:val="nil"/>
            </w:tcBorders>
            <w:vAlign w:val="top"/>
          </w:tcPr>
          <w:p w14:paraId="5E47CE50">
            <w:pPr>
              <w:rPr>
                <w:rFonts w:ascii="Arial"/>
                <w:sz w:val="21"/>
              </w:rPr>
            </w:pPr>
          </w:p>
        </w:tc>
      </w:tr>
      <w:tr w14:paraId="24AD0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984" w:type="dxa"/>
            <w:vMerge w:val="continue"/>
            <w:tcBorders>
              <w:top w:val="nil"/>
            </w:tcBorders>
            <w:vAlign w:val="top"/>
          </w:tcPr>
          <w:p w14:paraId="0619A3A7">
            <w:pPr>
              <w:rPr>
                <w:rFonts w:ascii="Arial"/>
                <w:sz w:val="21"/>
              </w:rPr>
            </w:pPr>
          </w:p>
        </w:tc>
        <w:tc>
          <w:tcPr>
            <w:tcW w:w="2388" w:type="dxa"/>
            <w:vAlign w:val="top"/>
          </w:tcPr>
          <w:p w14:paraId="3BF77136">
            <w:pPr>
              <w:pStyle w:val="6"/>
              <w:spacing w:before="122" w:line="219" w:lineRule="auto"/>
              <w:ind w:left="341"/>
            </w:pPr>
            <w:r>
              <w:rPr>
                <w:spacing w:val="2"/>
              </w:rPr>
              <w:t>石拐区应急管理局</w:t>
            </w:r>
          </w:p>
        </w:tc>
        <w:tc>
          <w:tcPr>
            <w:tcW w:w="2548" w:type="dxa"/>
            <w:vAlign w:val="top"/>
          </w:tcPr>
          <w:p w14:paraId="5F116EFF">
            <w:pPr>
              <w:pStyle w:val="6"/>
              <w:spacing w:before="123" w:line="220" w:lineRule="auto"/>
              <w:ind w:left="472"/>
            </w:pPr>
            <w:r>
              <w:rPr>
                <w:spacing w:val="1"/>
              </w:rPr>
              <w:t>周俊18686199946</w:t>
            </w:r>
          </w:p>
        </w:tc>
        <w:tc>
          <w:tcPr>
            <w:tcW w:w="2698" w:type="dxa"/>
            <w:vAlign w:val="top"/>
          </w:tcPr>
          <w:p w14:paraId="1AAE1B39">
            <w:pPr>
              <w:pStyle w:val="6"/>
              <w:spacing w:before="122" w:line="219" w:lineRule="auto"/>
              <w:ind w:left="1024"/>
            </w:pPr>
            <w:r>
              <w:rPr>
                <w:spacing w:val="6"/>
              </w:rPr>
              <w:t>副局</w:t>
            </w:r>
            <w:r>
              <w:rPr>
                <w:color w:val="506060"/>
                <w:spacing w:val="6"/>
              </w:rPr>
              <w:t>长</w:t>
            </w:r>
          </w:p>
        </w:tc>
        <w:tc>
          <w:tcPr>
            <w:tcW w:w="4316" w:type="dxa"/>
            <w:vMerge w:val="continue"/>
            <w:tcBorders>
              <w:top w:val="nil"/>
            </w:tcBorders>
            <w:vAlign w:val="top"/>
          </w:tcPr>
          <w:p w14:paraId="05A77CB8">
            <w:pPr>
              <w:rPr>
                <w:rFonts w:ascii="Arial"/>
                <w:sz w:val="21"/>
              </w:rPr>
            </w:pPr>
          </w:p>
        </w:tc>
      </w:tr>
      <w:tr w14:paraId="12D73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984" w:type="dxa"/>
            <w:vMerge w:val="restart"/>
            <w:tcBorders>
              <w:bottom w:val="nil"/>
            </w:tcBorders>
            <w:vAlign w:val="top"/>
          </w:tcPr>
          <w:p w14:paraId="5C70C89A">
            <w:pPr>
              <w:spacing w:line="259" w:lineRule="auto"/>
              <w:rPr>
                <w:rFonts w:ascii="Arial"/>
                <w:sz w:val="21"/>
              </w:rPr>
            </w:pPr>
          </w:p>
          <w:p w14:paraId="57E589E3">
            <w:pPr>
              <w:spacing w:line="259" w:lineRule="auto"/>
              <w:rPr>
                <w:rFonts w:ascii="Arial"/>
                <w:sz w:val="21"/>
              </w:rPr>
            </w:pPr>
          </w:p>
          <w:p w14:paraId="2E4794D4">
            <w:pPr>
              <w:spacing w:line="260" w:lineRule="auto"/>
              <w:rPr>
                <w:rFonts w:ascii="Arial"/>
                <w:sz w:val="21"/>
              </w:rPr>
            </w:pPr>
          </w:p>
          <w:p w14:paraId="01094AD8">
            <w:pPr>
              <w:spacing w:line="260" w:lineRule="auto"/>
              <w:rPr>
                <w:rFonts w:ascii="Arial"/>
                <w:sz w:val="21"/>
              </w:rPr>
            </w:pPr>
          </w:p>
          <w:p w14:paraId="78271BC6">
            <w:pPr>
              <w:spacing w:line="260" w:lineRule="auto"/>
              <w:rPr>
                <w:rFonts w:ascii="Arial"/>
                <w:sz w:val="21"/>
              </w:rPr>
            </w:pPr>
          </w:p>
          <w:p w14:paraId="2F92E674">
            <w:pPr>
              <w:pStyle w:val="6"/>
              <w:spacing w:before="68" w:line="221" w:lineRule="auto"/>
              <w:ind w:left="455"/>
            </w:pPr>
            <w:r>
              <w:rPr>
                <w:spacing w:val="-2"/>
              </w:rPr>
              <w:t>应急监测组</w:t>
            </w:r>
          </w:p>
        </w:tc>
        <w:tc>
          <w:tcPr>
            <w:tcW w:w="2388" w:type="dxa"/>
            <w:vAlign w:val="top"/>
          </w:tcPr>
          <w:p w14:paraId="7D503BEA">
            <w:pPr>
              <w:pStyle w:val="6"/>
              <w:spacing w:before="63" w:line="219" w:lineRule="auto"/>
              <w:ind w:left="131"/>
            </w:pPr>
            <w:r>
              <w:rPr>
                <w:spacing w:val="1"/>
              </w:rPr>
              <w:t>包头市生态环境局石拐</w:t>
            </w:r>
          </w:p>
          <w:p w14:paraId="3CC16FF4">
            <w:pPr>
              <w:pStyle w:val="6"/>
              <w:spacing w:before="51" w:line="220" w:lineRule="auto"/>
              <w:ind w:left="870"/>
            </w:pPr>
            <w:r>
              <w:rPr>
                <w:color w:val="304040"/>
                <w:spacing w:val="6"/>
              </w:rPr>
              <w:t>区分局</w:t>
            </w:r>
          </w:p>
        </w:tc>
        <w:tc>
          <w:tcPr>
            <w:tcW w:w="2548" w:type="dxa"/>
            <w:vAlign w:val="top"/>
          </w:tcPr>
          <w:p w14:paraId="43C3D52F">
            <w:pPr>
              <w:pStyle w:val="6"/>
              <w:spacing w:before="212" w:line="219" w:lineRule="auto"/>
              <w:ind w:left="373"/>
            </w:pPr>
            <w:r>
              <w:t>陈权罡13847281705</w:t>
            </w:r>
          </w:p>
        </w:tc>
        <w:tc>
          <w:tcPr>
            <w:tcW w:w="2698" w:type="dxa"/>
            <w:vAlign w:val="top"/>
          </w:tcPr>
          <w:p w14:paraId="63D56095">
            <w:pPr>
              <w:pStyle w:val="6"/>
              <w:spacing w:before="213" w:line="219" w:lineRule="auto"/>
              <w:ind w:left="604"/>
            </w:pPr>
            <w:r>
              <w:rPr>
                <w:color w:val="405050"/>
                <w:spacing w:val="-2"/>
              </w:rPr>
              <w:t>监察大队大队长</w:t>
            </w:r>
          </w:p>
        </w:tc>
        <w:tc>
          <w:tcPr>
            <w:tcW w:w="4316" w:type="dxa"/>
            <w:vMerge w:val="restart"/>
            <w:tcBorders>
              <w:bottom w:val="nil"/>
            </w:tcBorders>
            <w:vAlign w:val="top"/>
          </w:tcPr>
          <w:p w14:paraId="1D321271">
            <w:pPr>
              <w:pStyle w:val="6"/>
              <w:spacing w:before="63" w:line="219" w:lineRule="auto"/>
              <w:ind w:left="107"/>
            </w:pPr>
            <w:r>
              <w:rPr>
                <w:color w:val="404040"/>
                <w:spacing w:val="7"/>
              </w:rPr>
              <w:t>(1)负责制定应急监测方案；</w:t>
            </w:r>
          </w:p>
          <w:p w14:paraId="6149F13D">
            <w:pPr>
              <w:pStyle w:val="6"/>
              <w:spacing w:before="60" w:line="219" w:lineRule="auto"/>
              <w:ind w:left="217"/>
            </w:pPr>
            <w:r>
              <w:rPr>
                <w:color w:val="405050"/>
              </w:rPr>
              <w:t>(2)负责在污染带上游、下游分别设置断面</w:t>
            </w:r>
          </w:p>
          <w:p w14:paraId="5EC4734C">
            <w:pPr>
              <w:pStyle w:val="6"/>
              <w:spacing w:before="61" w:line="220" w:lineRule="auto"/>
              <w:ind w:left="107"/>
            </w:pPr>
            <w:r>
              <w:rPr>
                <w:spacing w:val="15"/>
              </w:rPr>
              <w:t>进行应急监测；</w:t>
            </w:r>
          </w:p>
          <w:p w14:paraId="773DE185">
            <w:pPr>
              <w:pStyle w:val="6"/>
              <w:spacing w:before="67" w:line="219" w:lineRule="auto"/>
              <w:ind w:left="206"/>
            </w:pPr>
            <w:r>
              <w:rPr>
                <w:color w:val="405050"/>
              </w:rPr>
              <w:t>(3)负责应急期间的水源地、供水单位和管</w:t>
            </w:r>
          </w:p>
          <w:p w14:paraId="7388FCD2">
            <w:pPr>
              <w:pStyle w:val="6"/>
              <w:spacing w:before="63" w:line="219" w:lineRule="auto"/>
              <w:ind w:left="107"/>
            </w:pPr>
            <w:r>
              <w:rPr>
                <w:color w:val="506060"/>
              </w:rPr>
              <w:t>网末梢水的水质监测。</w:t>
            </w:r>
          </w:p>
        </w:tc>
      </w:tr>
      <w:tr w14:paraId="79B8E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984" w:type="dxa"/>
            <w:vMerge w:val="continue"/>
            <w:tcBorders>
              <w:top w:val="nil"/>
              <w:bottom w:val="nil"/>
            </w:tcBorders>
            <w:vAlign w:val="top"/>
          </w:tcPr>
          <w:p w14:paraId="2230C05E">
            <w:pPr>
              <w:rPr>
                <w:rFonts w:ascii="Arial"/>
                <w:sz w:val="21"/>
              </w:rPr>
            </w:pPr>
          </w:p>
        </w:tc>
        <w:tc>
          <w:tcPr>
            <w:tcW w:w="2388" w:type="dxa"/>
            <w:vAlign w:val="top"/>
          </w:tcPr>
          <w:p w14:paraId="45F7B86B">
            <w:pPr>
              <w:pStyle w:val="6"/>
              <w:spacing w:before="135" w:line="220" w:lineRule="auto"/>
              <w:ind w:left="550"/>
            </w:pPr>
            <w:r>
              <w:rPr>
                <w:spacing w:val="-2"/>
              </w:rPr>
              <w:t>石拐区卫健委</w:t>
            </w:r>
          </w:p>
        </w:tc>
        <w:tc>
          <w:tcPr>
            <w:tcW w:w="2548" w:type="dxa"/>
            <w:vAlign w:val="top"/>
          </w:tcPr>
          <w:p w14:paraId="222C8882">
            <w:pPr>
              <w:pStyle w:val="6"/>
              <w:spacing w:before="135" w:line="221" w:lineRule="auto"/>
              <w:ind w:left="472"/>
            </w:pPr>
            <w:r>
              <w:rPr>
                <w:spacing w:val="1"/>
              </w:rPr>
              <w:t>雒引18686118699</w:t>
            </w:r>
          </w:p>
        </w:tc>
        <w:tc>
          <w:tcPr>
            <w:tcW w:w="2698" w:type="dxa"/>
            <w:vAlign w:val="top"/>
          </w:tcPr>
          <w:p w14:paraId="4AAAE004">
            <w:pPr>
              <w:pStyle w:val="6"/>
              <w:spacing w:before="134" w:line="219" w:lineRule="auto"/>
              <w:ind w:left="714"/>
            </w:pPr>
            <w:r>
              <w:rPr>
                <w:spacing w:val="-2"/>
              </w:rPr>
              <w:t>疾控中心主任</w:t>
            </w:r>
          </w:p>
        </w:tc>
        <w:tc>
          <w:tcPr>
            <w:tcW w:w="4316" w:type="dxa"/>
            <w:vMerge w:val="continue"/>
            <w:tcBorders>
              <w:top w:val="nil"/>
              <w:bottom w:val="nil"/>
            </w:tcBorders>
            <w:vAlign w:val="top"/>
          </w:tcPr>
          <w:p w14:paraId="30213A87">
            <w:pPr>
              <w:rPr>
                <w:rFonts w:ascii="Arial"/>
                <w:sz w:val="21"/>
              </w:rPr>
            </w:pPr>
          </w:p>
        </w:tc>
      </w:tr>
      <w:tr w14:paraId="562E2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984" w:type="dxa"/>
            <w:vMerge w:val="continue"/>
            <w:tcBorders>
              <w:top w:val="nil"/>
              <w:bottom w:val="nil"/>
            </w:tcBorders>
            <w:vAlign w:val="top"/>
          </w:tcPr>
          <w:p w14:paraId="589F3B64">
            <w:pPr>
              <w:rPr>
                <w:rFonts w:ascii="Arial"/>
                <w:sz w:val="21"/>
              </w:rPr>
            </w:pPr>
          </w:p>
        </w:tc>
        <w:tc>
          <w:tcPr>
            <w:tcW w:w="2388" w:type="dxa"/>
            <w:vAlign w:val="top"/>
          </w:tcPr>
          <w:p w14:paraId="33B908F9">
            <w:pPr>
              <w:pStyle w:val="6"/>
              <w:spacing w:before="175" w:line="219" w:lineRule="auto"/>
              <w:ind w:left="550"/>
            </w:pPr>
            <w:r>
              <w:rPr>
                <w:color w:val="405050"/>
                <w:spacing w:val="3"/>
              </w:rPr>
              <w:t>石拐区农牧局</w:t>
            </w:r>
          </w:p>
        </w:tc>
        <w:tc>
          <w:tcPr>
            <w:tcW w:w="2548" w:type="dxa"/>
            <w:vAlign w:val="top"/>
          </w:tcPr>
          <w:p w14:paraId="1466D390">
            <w:pPr>
              <w:pStyle w:val="6"/>
              <w:spacing w:before="175" w:line="219" w:lineRule="auto"/>
              <w:ind w:left="373"/>
            </w:pPr>
            <w:r>
              <w:rPr>
                <w:spacing w:val="-1"/>
              </w:rPr>
              <w:t>李东升15849273840</w:t>
            </w:r>
          </w:p>
        </w:tc>
        <w:tc>
          <w:tcPr>
            <w:tcW w:w="2698" w:type="dxa"/>
            <w:vAlign w:val="top"/>
          </w:tcPr>
          <w:p w14:paraId="266131AC">
            <w:pPr>
              <w:pStyle w:val="6"/>
              <w:spacing w:before="175" w:line="219" w:lineRule="auto"/>
              <w:ind w:left="815"/>
            </w:pPr>
            <w:r>
              <w:rPr>
                <w:spacing w:val="1"/>
              </w:rPr>
              <w:t>办公室主任</w:t>
            </w:r>
          </w:p>
        </w:tc>
        <w:tc>
          <w:tcPr>
            <w:tcW w:w="4316" w:type="dxa"/>
            <w:vMerge w:val="continue"/>
            <w:tcBorders>
              <w:top w:val="nil"/>
              <w:bottom w:val="nil"/>
            </w:tcBorders>
            <w:vAlign w:val="top"/>
          </w:tcPr>
          <w:p w14:paraId="113603C7">
            <w:pPr>
              <w:rPr>
                <w:rFonts w:ascii="Arial"/>
                <w:sz w:val="21"/>
              </w:rPr>
            </w:pPr>
          </w:p>
        </w:tc>
      </w:tr>
      <w:tr w14:paraId="76A3E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984" w:type="dxa"/>
            <w:vMerge w:val="continue"/>
            <w:tcBorders>
              <w:top w:val="nil"/>
              <w:bottom w:val="nil"/>
            </w:tcBorders>
            <w:vAlign w:val="top"/>
          </w:tcPr>
          <w:p w14:paraId="24E1F661">
            <w:pPr>
              <w:rPr>
                <w:rFonts w:ascii="Arial"/>
                <w:sz w:val="21"/>
              </w:rPr>
            </w:pPr>
          </w:p>
        </w:tc>
        <w:tc>
          <w:tcPr>
            <w:tcW w:w="2388" w:type="dxa"/>
            <w:vAlign w:val="top"/>
          </w:tcPr>
          <w:p w14:paraId="2E2C3C46">
            <w:pPr>
              <w:pStyle w:val="6"/>
              <w:spacing w:before="197" w:line="220" w:lineRule="auto"/>
              <w:ind w:left="550"/>
            </w:pPr>
            <w:r>
              <w:rPr>
                <w:color w:val="405050"/>
                <w:spacing w:val="3"/>
              </w:rPr>
              <w:t>石拐区住建局</w:t>
            </w:r>
          </w:p>
        </w:tc>
        <w:tc>
          <w:tcPr>
            <w:tcW w:w="2548" w:type="dxa"/>
            <w:vAlign w:val="top"/>
          </w:tcPr>
          <w:p w14:paraId="6B79F538">
            <w:pPr>
              <w:pStyle w:val="6"/>
              <w:spacing w:before="200" w:line="222" w:lineRule="auto"/>
              <w:ind w:left="472"/>
            </w:pPr>
            <w:r>
              <w:rPr>
                <w:color w:val="404050"/>
                <w:spacing w:val="1"/>
              </w:rPr>
              <w:t>庞宏13848229100</w:t>
            </w:r>
          </w:p>
        </w:tc>
        <w:tc>
          <w:tcPr>
            <w:tcW w:w="2698" w:type="dxa"/>
            <w:vAlign w:val="top"/>
          </w:tcPr>
          <w:p w14:paraId="2E52FBE3">
            <w:pPr>
              <w:pStyle w:val="6"/>
              <w:spacing w:before="196" w:line="219" w:lineRule="auto"/>
              <w:ind w:left="1024"/>
            </w:pPr>
            <w:r>
              <w:rPr>
                <w:spacing w:val="3"/>
              </w:rPr>
              <w:t>副局长</w:t>
            </w:r>
          </w:p>
        </w:tc>
        <w:tc>
          <w:tcPr>
            <w:tcW w:w="4316" w:type="dxa"/>
            <w:vMerge w:val="continue"/>
            <w:tcBorders>
              <w:top w:val="nil"/>
              <w:bottom w:val="nil"/>
            </w:tcBorders>
            <w:vAlign w:val="top"/>
          </w:tcPr>
          <w:p w14:paraId="3D2F6B30">
            <w:pPr>
              <w:rPr>
                <w:rFonts w:ascii="Arial"/>
                <w:sz w:val="21"/>
              </w:rPr>
            </w:pPr>
          </w:p>
        </w:tc>
      </w:tr>
      <w:tr w14:paraId="6E416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984" w:type="dxa"/>
            <w:vMerge w:val="continue"/>
            <w:tcBorders>
              <w:top w:val="nil"/>
            </w:tcBorders>
            <w:vAlign w:val="top"/>
          </w:tcPr>
          <w:p w14:paraId="73044E2E">
            <w:pPr>
              <w:rPr>
                <w:rFonts w:ascii="Arial"/>
                <w:sz w:val="21"/>
              </w:rPr>
            </w:pPr>
          </w:p>
        </w:tc>
        <w:tc>
          <w:tcPr>
            <w:tcW w:w="2388" w:type="dxa"/>
            <w:vAlign w:val="top"/>
          </w:tcPr>
          <w:p w14:paraId="11FEEA3D">
            <w:pPr>
              <w:pStyle w:val="6"/>
              <w:spacing w:before="248" w:line="220" w:lineRule="auto"/>
              <w:ind w:left="341"/>
            </w:pPr>
            <w:r>
              <w:rPr>
                <w:color w:val="405050"/>
                <w:spacing w:val="2"/>
              </w:rPr>
              <w:t>石拐区自然资源局</w:t>
            </w:r>
          </w:p>
        </w:tc>
        <w:tc>
          <w:tcPr>
            <w:tcW w:w="2548" w:type="dxa"/>
            <w:vAlign w:val="top"/>
          </w:tcPr>
          <w:p w14:paraId="4313C2B9">
            <w:pPr>
              <w:pStyle w:val="6"/>
              <w:spacing w:before="246" w:line="219" w:lineRule="auto"/>
              <w:ind w:left="472"/>
            </w:pPr>
            <w:r>
              <w:rPr>
                <w:spacing w:val="1"/>
              </w:rPr>
              <w:t>杨虎15848878699</w:t>
            </w:r>
          </w:p>
        </w:tc>
        <w:tc>
          <w:tcPr>
            <w:tcW w:w="2698" w:type="dxa"/>
            <w:vAlign w:val="top"/>
          </w:tcPr>
          <w:p w14:paraId="63CF13AB">
            <w:pPr>
              <w:pStyle w:val="6"/>
              <w:spacing w:before="247" w:line="219" w:lineRule="auto"/>
              <w:ind w:left="1024"/>
            </w:pPr>
            <w:r>
              <w:rPr>
                <w:spacing w:val="3"/>
              </w:rPr>
              <w:t>副局长</w:t>
            </w:r>
          </w:p>
        </w:tc>
        <w:tc>
          <w:tcPr>
            <w:tcW w:w="4316" w:type="dxa"/>
            <w:vMerge w:val="continue"/>
            <w:tcBorders>
              <w:top w:val="nil"/>
            </w:tcBorders>
            <w:vAlign w:val="top"/>
          </w:tcPr>
          <w:p w14:paraId="749F7F00">
            <w:pPr>
              <w:rPr>
                <w:rFonts w:ascii="Arial"/>
                <w:sz w:val="21"/>
              </w:rPr>
            </w:pPr>
          </w:p>
        </w:tc>
      </w:tr>
      <w:tr w14:paraId="2B2D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84" w:type="dxa"/>
            <w:vMerge w:val="restart"/>
            <w:tcBorders>
              <w:bottom w:val="nil"/>
            </w:tcBorders>
            <w:vAlign w:val="top"/>
          </w:tcPr>
          <w:p w14:paraId="5180399A">
            <w:pPr>
              <w:spacing w:line="262" w:lineRule="auto"/>
              <w:rPr>
                <w:rFonts w:ascii="Arial"/>
                <w:sz w:val="21"/>
              </w:rPr>
            </w:pPr>
          </w:p>
          <w:p w14:paraId="226863C2">
            <w:pPr>
              <w:spacing w:line="263" w:lineRule="auto"/>
              <w:rPr>
                <w:rFonts w:ascii="Arial"/>
                <w:sz w:val="21"/>
              </w:rPr>
            </w:pPr>
          </w:p>
          <w:p w14:paraId="6F245E91">
            <w:pPr>
              <w:pStyle w:val="6"/>
              <w:spacing w:before="69" w:line="219" w:lineRule="auto"/>
              <w:ind w:left="245"/>
            </w:pPr>
            <w:r>
              <w:rPr>
                <w:color w:val="304040"/>
                <w:spacing w:val="-2"/>
              </w:rPr>
              <w:t>应急供水保障组</w:t>
            </w:r>
          </w:p>
        </w:tc>
        <w:tc>
          <w:tcPr>
            <w:tcW w:w="2388" w:type="dxa"/>
            <w:vAlign w:val="top"/>
          </w:tcPr>
          <w:p w14:paraId="0D302421">
            <w:pPr>
              <w:pStyle w:val="6"/>
              <w:spacing w:before="77" w:line="219" w:lineRule="auto"/>
              <w:ind w:left="131"/>
            </w:pPr>
            <w:r>
              <w:rPr>
                <w:spacing w:val="-1"/>
              </w:rPr>
              <w:t>石拐区发展改革委员会</w:t>
            </w:r>
          </w:p>
        </w:tc>
        <w:tc>
          <w:tcPr>
            <w:tcW w:w="2548" w:type="dxa"/>
            <w:vAlign w:val="top"/>
          </w:tcPr>
          <w:p w14:paraId="147009FF">
            <w:pPr>
              <w:pStyle w:val="6"/>
              <w:spacing w:before="79" w:line="220" w:lineRule="auto"/>
              <w:ind w:left="472"/>
            </w:pPr>
            <w:r>
              <w:rPr>
                <w:spacing w:val="2"/>
              </w:rPr>
              <w:t>孙博15344222411</w:t>
            </w:r>
          </w:p>
        </w:tc>
        <w:tc>
          <w:tcPr>
            <w:tcW w:w="2698" w:type="dxa"/>
            <w:vAlign w:val="top"/>
          </w:tcPr>
          <w:p w14:paraId="46943712">
            <w:pPr>
              <w:pStyle w:val="6"/>
              <w:spacing w:before="78" w:line="219" w:lineRule="auto"/>
              <w:ind w:left="815"/>
            </w:pPr>
            <w:r>
              <w:rPr>
                <w:spacing w:val="1"/>
              </w:rPr>
              <w:t>办公室主任</w:t>
            </w:r>
          </w:p>
        </w:tc>
        <w:tc>
          <w:tcPr>
            <w:tcW w:w="4316" w:type="dxa"/>
            <w:vMerge w:val="restart"/>
            <w:tcBorders>
              <w:bottom w:val="nil"/>
            </w:tcBorders>
            <w:vAlign w:val="top"/>
          </w:tcPr>
          <w:p w14:paraId="02BDD2CA">
            <w:pPr>
              <w:pStyle w:val="6"/>
              <w:spacing w:before="67" w:line="219" w:lineRule="auto"/>
              <w:ind w:left="107"/>
            </w:pPr>
            <w:r>
              <w:rPr>
                <w:color w:val="405050"/>
                <w:spacing w:val="6"/>
              </w:rPr>
              <w:t>(1)负责制定应急供水保障方案；</w:t>
            </w:r>
          </w:p>
          <w:p w14:paraId="69CF921F">
            <w:pPr>
              <w:pStyle w:val="6"/>
              <w:spacing w:before="60" w:line="219" w:lineRule="auto"/>
              <w:ind w:left="217"/>
            </w:pPr>
            <w:r>
              <w:rPr>
                <w:color w:val="506060"/>
              </w:rPr>
              <w:t>(2)负责指导供水单位启动深度处理设施或</w:t>
            </w:r>
          </w:p>
          <w:p w14:paraId="12C9F3BA">
            <w:pPr>
              <w:pStyle w:val="6"/>
              <w:spacing w:before="60" w:line="219" w:lineRule="auto"/>
              <w:jc w:val="right"/>
            </w:pPr>
            <w:r>
              <w:rPr>
                <w:color w:val="405060"/>
                <w:spacing w:val="-2"/>
              </w:rPr>
              <w:t>备用水源以及应急供水车等措施，保障居民用</w:t>
            </w:r>
          </w:p>
          <w:p w14:paraId="1625C525">
            <w:pPr>
              <w:pStyle w:val="6"/>
              <w:spacing w:before="72" w:line="219" w:lineRule="auto"/>
              <w:ind w:left="107"/>
            </w:pPr>
            <w:r>
              <w:rPr>
                <w:spacing w:val="2"/>
              </w:rPr>
              <w:t>水。</w:t>
            </w:r>
          </w:p>
        </w:tc>
      </w:tr>
      <w:tr w14:paraId="09A79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984" w:type="dxa"/>
            <w:vMerge w:val="continue"/>
            <w:tcBorders>
              <w:top w:val="nil"/>
              <w:bottom w:val="nil"/>
            </w:tcBorders>
            <w:vAlign w:val="top"/>
          </w:tcPr>
          <w:p w14:paraId="6E978ED0">
            <w:pPr>
              <w:rPr>
                <w:rFonts w:ascii="Arial"/>
                <w:sz w:val="21"/>
              </w:rPr>
            </w:pPr>
          </w:p>
        </w:tc>
        <w:tc>
          <w:tcPr>
            <w:tcW w:w="2388" w:type="dxa"/>
            <w:vAlign w:val="top"/>
          </w:tcPr>
          <w:p w14:paraId="129BE798">
            <w:pPr>
              <w:pStyle w:val="6"/>
              <w:spacing w:before="58" w:line="212" w:lineRule="auto"/>
              <w:ind w:left="550"/>
            </w:pPr>
            <w:r>
              <w:rPr>
                <w:color w:val="406050"/>
                <w:spacing w:val="3"/>
              </w:rPr>
              <w:t>石拐区住建局</w:t>
            </w:r>
          </w:p>
        </w:tc>
        <w:tc>
          <w:tcPr>
            <w:tcW w:w="2548" w:type="dxa"/>
            <w:vAlign w:val="top"/>
          </w:tcPr>
          <w:p w14:paraId="79B3FA9F">
            <w:pPr>
              <w:pStyle w:val="6"/>
              <w:spacing w:before="62" w:line="209" w:lineRule="auto"/>
              <w:ind w:left="472"/>
            </w:pPr>
            <w:r>
              <w:rPr>
                <w:spacing w:val="1"/>
              </w:rPr>
              <w:t>庞宏13848229100</w:t>
            </w:r>
          </w:p>
        </w:tc>
        <w:tc>
          <w:tcPr>
            <w:tcW w:w="2698" w:type="dxa"/>
            <w:vAlign w:val="top"/>
          </w:tcPr>
          <w:p w14:paraId="18170898">
            <w:pPr>
              <w:pStyle w:val="6"/>
              <w:spacing w:before="58" w:line="212" w:lineRule="auto"/>
              <w:ind w:left="1024"/>
            </w:pPr>
            <w:r>
              <w:rPr>
                <w:spacing w:val="3"/>
              </w:rPr>
              <w:t>副局长</w:t>
            </w:r>
          </w:p>
        </w:tc>
        <w:tc>
          <w:tcPr>
            <w:tcW w:w="4316" w:type="dxa"/>
            <w:vMerge w:val="continue"/>
            <w:tcBorders>
              <w:top w:val="nil"/>
              <w:bottom w:val="nil"/>
            </w:tcBorders>
            <w:vAlign w:val="top"/>
          </w:tcPr>
          <w:p w14:paraId="19455ED4">
            <w:pPr>
              <w:rPr>
                <w:rFonts w:ascii="Arial"/>
                <w:sz w:val="21"/>
              </w:rPr>
            </w:pPr>
          </w:p>
        </w:tc>
      </w:tr>
      <w:tr w14:paraId="5F3EC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984" w:type="dxa"/>
            <w:vMerge w:val="continue"/>
            <w:tcBorders>
              <w:top w:val="nil"/>
              <w:bottom w:val="nil"/>
            </w:tcBorders>
            <w:vAlign w:val="top"/>
          </w:tcPr>
          <w:p w14:paraId="04B32F77">
            <w:pPr>
              <w:rPr>
                <w:rFonts w:ascii="Arial"/>
                <w:sz w:val="21"/>
              </w:rPr>
            </w:pPr>
          </w:p>
        </w:tc>
        <w:tc>
          <w:tcPr>
            <w:tcW w:w="2388" w:type="dxa"/>
            <w:vAlign w:val="top"/>
          </w:tcPr>
          <w:p w14:paraId="4E2D6FA7">
            <w:pPr>
              <w:pStyle w:val="6"/>
              <w:spacing w:before="59" w:line="203" w:lineRule="auto"/>
              <w:ind w:left="550"/>
            </w:pPr>
            <w:r>
              <w:rPr>
                <w:spacing w:val="3"/>
              </w:rPr>
              <w:t>石拐区民政局</w:t>
            </w:r>
          </w:p>
        </w:tc>
        <w:tc>
          <w:tcPr>
            <w:tcW w:w="2548" w:type="dxa"/>
            <w:vAlign w:val="top"/>
          </w:tcPr>
          <w:p w14:paraId="480C065E">
            <w:pPr>
              <w:pStyle w:val="6"/>
              <w:spacing w:before="59" w:line="203" w:lineRule="auto"/>
              <w:ind w:left="472"/>
            </w:pPr>
            <w:r>
              <w:rPr>
                <w:spacing w:val="1"/>
              </w:rPr>
              <w:t>李袁13947241622</w:t>
            </w:r>
          </w:p>
        </w:tc>
        <w:tc>
          <w:tcPr>
            <w:tcW w:w="2698" w:type="dxa"/>
            <w:vAlign w:val="top"/>
          </w:tcPr>
          <w:p w14:paraId="37F71F17">
            <w:pPr>
              <w:pStyle w:val="6"/>
              <w:spacing w:before="57" w:line="204" w:lineRule="auto"/>
              <w:ind w:left="1024"/>
            </w:pPr>
            <w:r>
              <w:rPr>
                <w:spacing w:val="3"/>
              </w:rPr>
              <w:t>副局长</w:t>
            </w:r>
          </w:p>
        </w:tc>
        <w:tc>
          <w:tcPr>
            <w:tcW w:w="4316" w:type="dxa"/>
            <w:vMerge w:val="continue"/>
            <w:tcBorders>
              <w:top w:val="nil"/>
              <w:bottom w:val="nil"/>
            </w:tcBorders>
            <w:vAlign w:val="top"/>
          </w:tcPr>
          <w:p w14:paraId="41F15712">
            <w:pPr>
              <w:rPr>
                <w:rFonts w:ascii="Arial"/>
                <w:sz w:val="21"/>
              </w:rPr>
            </w:pPr>
          </w:p>
        </w:tc>
      </w:tr>
      <w:tr w14:paraId="0E78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984" w:type="dxa"/>
            <w:vMerge w:val="continue"/>
            <w:tcBorders>
              <w:top w:val="nil"/>
            </w:tcBorders>
            <w:vAlign w:val="top"/>
          </w:tcPr>
          <w:p w14:paraId="1BC1DFEE">
            <w:pPr>
              <w:rPr>
                <w:rFonts w:ascii="Arial"/>
                <w:sz w:val="21"/>
              </w:rPr>
            </w:pPr>
          </w:p>
        </w:tc>
        <w:tc>
          <w:tcPr>
            <w:tcW w:w="2388" w:type="dxa"/>
            <w:vAlign w:val="top"/>
          </w:tcPr>
          <w:p w14:paraId="0F83F17E">
            <w:pPr>
              <w:pStyle w:val="6"/>
              <w:spacing w:before="109" w:line="220" w:lineRule="auto"/>
              <w:ind w:left="550"/>
            </w:pPr>
            <w:r>
              <w:rPr>
                <w:spacing w:val="3"/>
              </w:rPr>
              <w:t>石拐区财政局</w:t>
            </w:r>
          </w:p>
        </w:tc>
        <w:tc>
          <w:tcPr>
            <w:tcW w:w="2548" w:type="dxa"/>
            <w:vAlign w:val="top"/>
          </w:tcPr>
          <w:p w14:paraId="2C6B3677">
            <w:pPr>
              <w:pStyle w:val="6"/>
              <w:spacing w:before="108" w:line="219" w:lineRule="auto"/>
              <w:ind w:left="472"/>
            </w:pPr>
            <w:r>
              <w:rPr>
                <w:spacing w:val="1"/>
              </w:rPr>
              <w:t>吕帝15848883866</w:t>
            </w:r>
          </w:p>
        </w:tc>
        <w:tc>
          <w:tcPr>
            <w:tcW w:w="2698" w:type="dxa"/>
            <w:vAlign w:val="top"/>
          </w:tcPr>
          <w:p w14:paraId="7E236290">
            <w:pPr>
              <w:pStyle w:val="6"/>
              <w:spacing w:before="108" w:line="219" w:lineRule="auto"/>
              <w:ind w:left="1024"/>
            </w:pPr>
            <w:r>
              <w:rPr>
                <w:spacing w:val="3"/>
              </w:rPr>
              <w:t>副局长</w:t>
            </w:r>
          </w:p>
        </w:tc>
        <w:tc>
          <w:tcPr>
            <w:tcW w:w="4316" w:type="dxa"/>
            <w:vMerge w:val="continue"/>
            <w:tcBorders>
              <w:top w:val="nil"/>
            </w:tcBorders>
            <w:vAlign w:val="top"/>
          </w:tcPr>
          <w:p w14:paraId="72DDE480">
            <w:pPr>
              <w:rPr>
                <w:rFonts w:ascii="Arial"/>
                <w:sz w:val="21"/>
              </w:rPr>
            </w:pPr>
          </w:p>
        </w:tc>
      </w:tr>
    </w:tbl>
    <w:p w14:paraId="25155D08">
      <w:pPr>
        <w:rPr>
          <w:rFonts w:ascii="Arial"/>
          <w:sz w:val="21"/>
        </w:rPr>
      </w:pPr>
    </w:p>
    <w:p w14:paraId="6AA9784F">
      <w:pPr>
        <w:rPr>
          <w:rFonts w:ascii="Arial" w:hAnsi="Arial" w:eastAsia="Arial" w:cs="Arial"/>
          <w:sz w:val="21"/>
          <w:szCs w:val="21"/>
        </w:rPr>
        <w:sectPr>
          <w:footerReference r:id="rId20" w:type="default"/>
          <w:pgSz w:w="16850" w:h="11910"/>
          <w:pgMar w:top="1012" w:right="1700" w:bottom="1445" w:left="1204" w:header="0" w:footer="1283" w:gutter="0"/>
          <w:cols w:space="720" w:num="1"/>
        </w:sectPr>
      </w:pPr>
    </w:p>
    <w:p w14:paraId="5CB53A69">
      <w:pPr>
        <w:spacing w:before="90"/>
      </w:pPr>
    </w:p>
    <w:p w14:paraId="5E613827">
      <w:pPr>
        <w:spacing w:before="89"/>
      </w:pPr>
    </w:p>
    <w:tbl>
      <w:tblPr>
        <w:tblStyle w:val="5"/>
        <w:tblW w:w="139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2408"/>
        <w:gridCol w:w="2548"/>
        <w:gridCol w:w="2688"/>
        <w:gridCol w:w="4322"/>
      </w:tblGrid>
      <w:tr w14:paraId="162A5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983" w:type="dxa"/>
            <w:vMerge w:val="restart"/>
            <w:tcBorders>
              <w:bottom w:val="nil"/>
            </w:tcBorders>
            <w:vAlign w:val="top"/>
          </w:tcPr>
          <w:p w14:paraId="084D8B3C">
            <w:pPr>
              <w:spacing w:line="259" w:lineRule="auto"/>
              <w:rPr>
                <w:rFonts w:ascii="Arial"/>
                <w:sz w:val="21"/>
              </w:rPr>
            </w:pPr>
          </w:p>
          <w:p w14:paraId="37E16BA9">
            <w:pPr>
              <w:spacing w:line="259" w:lineRule="auto"/>
              <w:rPr>
                <w:rFonts w:ascii="Arial"/>
                <w:sz w:val="21"/>
              </w:rPr>
            </w:pPr>
          </w:p>
          <w:p w14:paraId="7C2CF783">
            <w:pPr>
              <w:spacing w:line="259" w:lineRule="auto"/>
              <w:rPr>
                <w:rFonts w:ascii="Arial"/>
                <w:sz w:val="21"/>
              </w:rPr>
            </w:pPr>
          </w:p>
          <w:p w14:paraId="013702ED">
            <w:pPr>
              <w:spacing w:line="260" w:lineRule="auto"/>
              <w:rPr>
                <w:rFonts w:ascii="Arial"/>
                <w:sz w:val="21"/>
              </w:rPr>
            </w:pPr>
          </w:p>
          <w:p w14:paraId="18E6DE12">
            <w:pPr>
              <w:spacing w:line="260" w:lineRule="auto"/>
              <w:rPr>
                <w:rFonts w:ascii="Arial"/>
                <w:sz w:val="21"/>
              </w:rPr>
            </w:pPr>
          </w:p>
          <w:p w14:paraId="79AC3EC5">
            <w:pPr>
              <w:pStyle w:val="6"/>
              <w:spacing w:before="68" w:line="219" w:lineRule="auto"/>
              <w:ind w:left="244"/>
            </w:pPr>
            <w:r>
              <w:rPr>
                <w:spacing w:val="-2"/>
              </w:rPr>
              <w:t>应急物资保障组</w:t>
            </w:r>
          </w:p>
        </w:tc>
        <w:tc>
          <w:tcPr>
            <w:tcW w:w="2408" w:type="dxa"/>
            <w:vAlign w:val="top"/>
          </w:tcPr>
          <w:p w14:paraId="711C1927">
            <w:pPr>
              <w:pStyle w:val="6"/>
              <w:spacing w:before="63" w:line="219" w:lineRule="auto"/>
              <w:ind w:left="142"/>
            </w:pPr>
            <w:bookmarkStart w:id="34" w:name="bookmark77"/>
            <w:bookmarkEnd w:id="34"/>
            <w:r>
              <w:rPr>
                <w:color w:val="405050"/>
                <w:spacing w:val="1"/>
              </w:rPr>
              <w:t>石拐区市场监督管理局</w:t>
            </w:r>
          </w:p>
        </w:tc>
        <w:tc>
          <w:tcPr>
            <w:tcW w:w="2548" w:type="dxa"/>
            <w:vAlign w:val="top"/>
          </w:tcPr>
          <w:p w14:paraId="50EFA3BD">
            <w:pPr>
              <w:pStyle w:val="6"/>
              <w:spacing w:before="64" w:line="220" w:lineRule="auto"/>
              <w:ind w:left="373"/>
            </w:pPr>
            <w:r>
              <w:rPr>
                <w:spacing w:val="-1"/>
              </w:rPr>
              <w:t>贺文平13739929666</w:t>
            </w:r>
          </w:p>
        </w:tc>
        <w:tc>
          <w:tcPr>
            <w:tcW w:w="2688" w:type="dxa"/>
            <w:vAlign w:val="top"/>
          </w:tcPr>
          <w:p w14:paraId="6837551C">
            <w:pPr>
              <w:pStyle w:val="6"/>
              <w:spacing w:before="63" w:line="219" w:lineRule="auto"/>
              <w:ind w:left="1025"/>
            </w:pPr>
            <w:r>
              <w:rPr>
                <w:spacing w:val="3"/>
              </w:rPr>
              <w:t>副局长</w:t>
            </w:r>
          </w:p>
        </w:tc>
        <w:tc>
          <w:tcPr>
            <w:tcW w:w="4322" w:type="dxa"/>
            <w:vMerge w:val="restart"/>
            <w:tcBorders>
              <w:bottom w:val="nil"/>
            </w:tcBorders>
            <w:vAlign w:val="top"/>
          </w:tcPr>
          <w:p w14:paraId="426477AD">
            <w:pPr>
              <w:spacing w:line="273" w:lineRule="auto"/>
              <w:rPr>
                <w:rFonts w:ascii="Arial"/>
                <w:sz w:val="21"/>
              </w:rPr>
            </w:pPr>
          </w:p>
          <w:p w14:paraId="131AF7AA">
            <w:pPr>
              <w:spacing w:line="273" w:lineRule="auto"/>
              <w:rPr>
                <w:rFonts w:ascii="Arial"/>
                <w:sz w:val="21"/>
              </w:rPr>
            </w:pPr>
          </w:p>
          <w:p w14:paraId="0384559B">
            <w:pPr>
              <w:spacing w:line="274" w:lineRule="auto"/>
              <w:rPr>
                <w:rFonts w:ascii="Arial"/>
                <w:sz w:val="21"/>
              </w:rPr>
            </w:pPr>
          </w:p>
          <w:p w14:paraId="464957F4">
            <w:pPr>
              <w:pStyle w:val="6"/>
              <w:spacing w:before="68" w:line="219" w:lineRule="auto"/>
              <w:ind w:left="237"/>
            </w:pPr>
            <w:r>
              <w:rPr>
                <w:color w:val="406050"/>
                <w:spacing w:val="6"/>
              </w:rPr>
              <w:t>(1)负责制定应急物资保障方案；</w:t>
            </w:r>
          </w:p>
          <w:p w14:paraId="3F723A15">
            <w:pPr>
              <w:pStyle w:val="6"/>
              <w:spacing w:before="60" w:line="219" w:lineRule="auto"/>
              <w:ind w:left="227"/>
            </w:pPr>
            <w:r>
              <w:rPr>
                <w:color w:val="606070"/>
                <w:spacing w:val="5"/>
              </w:rPr>
              <w:t>(2)负责调配应急物资、协调运输车辆；</w:t>
            </w:r>
          </w:p>
          <w:p w14:paraId="462F6C32">
            <w:pPr>
              <w:pStyle w:val="6"/>
              <w:spacing w:before="70" w:line="219" w:lineRule="auto"/>
              <w:ind w:left="227"/>
            </w:pPr>
            <w:r>
              <w:rPr>
                <w:color w:val="405040"/>
              </w:rPr>
              <w:t>(3)负责协调补偿征用物资、应急救援和污</w:t>
            </w:r>
          </w:p>
          <w:p w14:paraId="33D017A0">
            <w:pPr>
              <w:pStyle w:val="6"/>
              <w:spacing w:before="71" w:line="219" w:lineRule="auto"/>
              <w:ind w:left="137"/>
            </w:pPr>
            <w:r>
              <w:rPr>
                <w:spacing w:val="-1"/>
              </w:rPr>
              <w:t>染物处置等费用。</w:t>
            </w:r>
          </w:p>
        </w:tc>
      </w:tr>
      <w:tr w14:paraId="79B9C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983" w:type="dxa"/>
            <w:vMerge w:val="continue"/>
            <w:tcBorders>
              <w:top w:val="nil"/>
              <w:bottom w:val="nil"/>
            </w:tcBorders>
            <w:vAlign w:val="top"/>
          </w:tcPr>
          <w:p w14:paraId="5A663F3A">
            <w:pPr>
              <w:rPr>
                <w:rFonts w:ascii="Arial"/>
                <w:sz w:val="21"/>
              </w:rPr>
            </w:pPr>
          </w:p>
        </w:tc>
        <w:tc>
          <w:tcPr>
            <w:tcW w:w="2408" w:type="dxa"/>
            <w:vAlign w:val="top"/>
          </w:tcPr>
          <w:p w14:paraId="57759632">
            <w:pPr>
              <w:pStyle w:val="6"/>
              <w:spacing w:before="47" w:line="212" w:lineRule="auto"/>
              <w:ind w:left="251"/>
            </w:pPr>
            <w:r>
              <w:rPr>
                <w:color w:val="506060"/>
                <w:spacing w:val="2"/>
              </w:rPr>
              <w:t>包头供电局石拐分局</w:t>
            </w:r>
          </w:p>
        </w:tc>
        <w:tc>
          <w:tcPr>
            <w:tcW w:w="2548" w:type="dxa"/>
            <w:vAlign w:val="top"/>
          </w:tcPr>
          <w:p w14:paraId="57185D7F">
            <w:pPr>
              <w:pStyle w:val="6"/>
              <w:spacing w:before="50" w:line="210" w:lineRule="auto"/>
              <w:ind w:left="373"/>
            </w:pPr>
            <w:r>
              <w:rPr>
                <w:spacing w:val="1"/>
              </w:rPr>
              <w:t>罗蔚宁13904722141</w:t>
            </w:r>
          </w:p>
        </w:tc>
        <w:tc>
          <w:tcPr>
            <w:tcW w:w="2688" w:type="dxa"/>
            <w:vAlign w:val="top"/>
          </w:tcPr>
          <w:p w14:paraId="71B6B570">
            <w:pPr>
              <w:pStyle w:val="6"/>
              <w:spacing w:before="48" w:line="211" w:lineRule="auto"/>
              <w:ind w:left="1025"/>
            </w:pPr>
            <w:r>
              <w:rPr>
                <w:spacing w:val="3"/>
              </w:rPr>
              <w:t>副局长</w:t>
            </w:r>
          </w:p>
        </w:tc>
        <w:tc>
          <w:tcPr>
            <w:tcW w:w="4322" w:type="dxa"/>
            <w:vMerge w:val="continue"/>
            <w:tcBorders>
              <w:top w:val="nil"/>
              <w:bottom w:val="nil"/>
            </w:tcBorders>
            <w:vAlign w:val="top"/>
          </w:tcPr>
          <w:p w14:paraId="564BA271">
            <w:pPr>
              <w:rPr>
                <w:rFonts w:ascii="Arial"/>
                <w:sz w:val="21"/>
              </w:rPr>
            </w:pPr>
          </w:p>
        </w:tc>
      </w:tr>
      <w:tr w14:paraId="407CE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983" w:type="dxa"/>
            <w:vMerge w:val="continue"/>
            <w:tcBorders>
              <w:top w:val="nil"/>
              <w:bottom w:val="nil"/>
            </w:tcBorders>
            <w:vAlign w:val="top"/>
          </w:tcPr>
          <w:p w14:paraId="5BC0E2E6">
            <w:pPr>
              <w:rPr>
                <w:rFonts w:ascii="Arial"/>
                <w:sz w:val="21"/>
              </w:rPr>
            </w:pPr>
          </w:p>
        </w:tc>
        <w:tc>
          <w:tcPr>
            <w:tcW w:w="2408" w:type="dxa"/>
            <w:vAlign w:val="top"/>
          </w:tcPr>
          <w:p w14:paraId="0C584FE1">
            <w:pPr>
              <w:pStyle w:val="6"/>
              <w:spacing w:before="59" w:line="219" w:lineRule="auto"/>
              <w:ind w:left="561"/>
            </w:pPr>
            <w:r>
              <w:rPr>
                <w:spacing w:val="3"/>
              </w:rPr>
              <w:t>石拐区农牧局</w:t>
            </w:r>
          </w:p>
        </w:tc>
        <w:tc>
          <w:tcPr>
            <w:tcW w:w="2548" w:type="dxa"/>
            <w:vAlign w:val="top"/>
          </w:tcPr>
          <w:p w14:paraId="0C5F9989">
            <w:pPr>
              <w:pStyle w:val="6"/>
              <w:spacing w:before="59" w:line="219" w:lineRule="auto"/>
              <w:ind w:left="373"/>
            </w:pPr>
            <w:r>
              <w:rPr>
                <w:spacing w:val="-1"/>
              </w:rPr>
              <w:t>祁晓伟13947299905</w:t>
            </w:r>
          </w:p>
        </w:tc>
        <w:tc>
          <w:tcPr>
            <w:tcW w:w="2688" w:type="dxa"/>
            <w:vAlign w:val="top"/>
          </w:tcPr>
          <w:p w14:paraId="5AE26215">
            <w:pPr>
              <w:pStyle w:val="6"/>
              <w:spacing w:before="59" w:line="219" w:lineRule="auto"/>
              <w:ind w:left="1025"/>
            </w:pPr>
            <w:r>
              <w:rPr>
                <w:spacing w:val="3"/>
              </w:rPr>
              <w:t>副局长</w:t>
            </w:r>
          </w:p>
        </w:tc>
        <w:tc>
          <w:tcPr>
            <w:tcW w:w="4322" w:type="dxa"/>
            <w:vMerge w:val="continue"/>
            <w:tcBorders>
              <w:top w:val="nil"/>
              <w:bottom w:val="nil"/>
            </w:tcBorders>
            <w:vAlign w:val="top"/>
          </w:tcPr>
          <w:p w14:paraId="500B8C61">
            <w:pPr>
              <w:rPr>
                <w:rFonts w:ascii="Arial"/>
                <w:sz w:val="21"/>
              </w:rPr>
            </w:pPr>
          </w:p>
        </w:tc>
      </w:tr>
      <w:tr w14:paraId="621F1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3" w:type="dxa"/>
            <w:vMerge w:val="continue"/>
            <w:tcBorders>
              <w:top w:val="nil"/>
              <w:bottom w:val="nil"/>
            </w:tcBorders>
            <w:vAlign w:val="top"/>
          </w:tcPr>
          <w:p w14:paraId="741508C4">
            <w:pPr>
              <w:rPr>
                <w:rFonts w:ascii="Arial"/>
                <w:sz w:val="21"/>
              </w:rPr>
            </w:pPr>
          </w:p>
        </w:tc>
        <w:tc>
          <w:tcPr>
            <w:tcW w:w="2408" w:type="dxa"/>
            <w:vAlign w:val="top"/>
          </w:tcPr>
          <w:p w14:paraId="24FB2DED">
            <w:pPr>
              <w:pStyle w:val="6"/>
              <w:spacing w:before="70" w:line="220" w:lineRule="auto"/>
              <w:ind w:left="561"/>
            </w:pPr>
            <w:r>
              <w:rPr>
                <w:spacing w:val="3"/>
              </w:rPr>
              <w:t>石拐区住建局</w:t>
            </w:r>
          </w:p>
        </w:tc>
        <w:tc>
          <w:tcPr>
            <w:tcW w:w="2548" w:type="dxa"/>
            <w:vAlign w:val="top"/>
          </w:tcPr>
          <w:p w14:paraId="2B59BE5E">
            <w:pPr>
              <w:pStyle w:val="6"/>
              <w:spacing w:before="72" w:line="222" w:lineRule="auto"/>
              <w:ind w:left="473"/>
            </w:pPr>
            <w:r>
              <w:rPr>
                <w:spacing w:val="1"/>
              </w:rPr>
              <w:t>庞宏13848229100</w:t>
            </w:r>
          </w:p>
        </w:tc>
        <w:tc>
          <w:tcPr>
            <w:tcW w:w="2688" w:type="dxa"/>
            <w:vAlign w:val="top"/>
          </w:tcPr>
          <w:p w14:paraId="2009DF42">
            <w:pPr>
              <w:pStyle w:val="6"/>
              <w:spacing w:before="69" w:line="219" w:lineRule="auto"/>
              <w:ind w:left="1025"/>
            </w:pPr>
            <w:r>
              <w:rPr>
                <w:spacing w:val="3"/>
              </w:rPr>
              <w:t>副局长</w:t>
            </w:r>
          </w:p>
        </w:tc>
        <w:tc>
          <w:tcPr>
            <w:tcW w:w="4322" w:type="dxa"/>
            <w:vMerge w:val="continue"/>
            <w:tcBorders>
              <w:top w:val="nil"/>
              <w:bottom w:val="nil"/>
            </w:tcBorders>
            <w:vAlign w:val="top"/>
          </w:tcPr>
          <w:p w14:paraId="429EE7E8">
            <w:pPr>
              <w:rPr>
                <w:rFonts w:ascii="Arial"/>
                <w:sz w:val="21"/>
              </w:rPr>
            </w:pPr>
          </w:p>
        </w:tc>
      </w:tr>
      <w:tr w14:paraId="5516A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3" w:type="dxa"/>
            <w:vMerge w:val="continue"/>
            <w:tcBorders>
              <w:top w:val="nil"/>
              <w:bottom w:val="nil"/>
            </w:tcBorders>
            <w:vAlign w:val="top"/>
          </w:tcPr>
          <w:p w14:paraId="6994CD8A">
            <w:pPr>
              <w:rPr>
                <w:rFonts w:ascii="Arial"/>
                <w:sz w:val="21"/>
              </w:rPr>
            </w:pPr>
          </w:p>
        </w:tc>
        <w:tc>
          <w:tcPr>
            <w:tcW w:w="2408" w:type="dxa"/>
            <w:vAlign w:val="top"/>
          </w:tcPr>
          <w:p w14:paraId="7AE3BBA0">
            <w:pPr>
              <w:pStyle w:val="6"/>
              <w:spacing w:before="68" w:line="219" w:lineRule="auto"/>
              <w:ind w:left="142"/>
            </w:pPr>
            <w:r>
              <w:rPr>
                <w:spacing w:val="-1"/>
              </w:rPr>
              <w:t>石拐区发展改革委员会</w:t>
            </w:r>
          </w:p>
        </w:tc>
        <w:tc>
          <w:tcPr>
            <w:tcW w:w="2548" w:type="dxa"/>
            <w:vAlign w:val="top"/>
          </w:tcPr>
          <w:p w14:paraId="01614CF1">
            <w:pPr>
              <w:pStyle w:val="6"/>
              <w:spacing w:before="70" w:line="220" w:lineRule="auto"/>
              <w:ind w:left="473"/>
            </w:pPr>
            <w:r>
              <w:rPr>
                <w:spacing w:val="1"/>
              </w:rPr>
              <w:t>姜山15947124968</w:t>
            </w:r>
          </w:p>
        </w:tc>
        <w:tc>
          <w:tcPr>
            <w:tcW w:w="2688" w:type="dxa"/>
            <w:vAlign w:val="top"/>
          </w:tcPr>
          <w:p w14:paraId="7327E8A2">
            <w:pPr>
              <w:pStyle w:val="6"/>
              <w:spacing w:before="69" w:line="219" w:lineRule="auto"/>
              <w:ind w:left="1025"/>
            </w:pPr>
            <w:r>
              <w:rPr>
                <w:spacing w:val="3"/>
              </w:rPr>
              <w:t>副局长</w:t>
            </w:r>
          </w:p>
        </w:tc>
        <w:tc>
          <w:tcPr>
            <w:tcW w:w="4322" w:type="dxa"/>
            <w:vMerge w:val="continue"/>
            <w:tcBorders>
              <w:top w:val="nil"/>
              <w:bottom w:val="nil"/>
            </w:tcBorders>
            <w:vAlign w:val="top"/>
          </w:tcPr>
          <w:p w14:paraId="78E4180B">
            <w:pPr>
              <w:rPr>
                <w:rFonts w:ascii="Arial"/>
                <w:sz w:val="21"/>
              </w:rPr>
            </w:pPr>
          </w:p>
        </w:tc>
      </w:tr>
      <w:tr w14:paraId="34F3E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983" w:type="dxa"/>
            <w:vMerge w:val="continue"/>
            <w:tcBorders>
              <w:top w:val="nil"/>
              <w:bottom w:val="nil"/>
            </w:tcBorders>
            <w:vAlign w:val="top"/>
          </w:tcPr>
          <w:p w14:paraId="3DB88D5D">
            <w:pPr>
              <w:rPr>
                <w:rFonts w:ascii="Arial"/>
                <w:sz w:val="21"/>
              </w:rPr>
            </w:pPr>
          </w:p>
        </w:tc>
        <w:tc>
          <w:tcPr>
            <w:tcW w:w="2408" w:type="dxa"/>
            <w:vAlign w:val="top"/>
          </w:tcPr>
          <w:p w14:paraId="5DDC2593">
            <w:pPr>
              <w:pStyle w:val="6"/>
              <w:spacing w:before="49" w:line="219" w:lineRule="auto"/>
              <w:ind w:left="142"/>
            </w:pPr>
            <w:r>
              <w:rPr>
                <w:color w:val="405050"/>
              </w:rPr>
              <w:t>中国联合网络通信股份</w:t>
            </w:r>
          </w:p>
          <w:p w14:paraId="60B33E84">
            <w:pPr>
              <w:pStyle w:val="6"/>
              <w:spacing w:before="61" w:line="201" w:lineRule="auto"/>
              <w:ind w:left="142"/>
            </w:pPr>
            <w:r>
              <w:rPr>
                <w:spacing w:val="10"/>
              </w:rPr>
              <w:t>有限公司石拐分公司、</w:t>
            </w:r>
          </w:p>
        </w:tc>
        <w:tc>
          <w:tcPr>
            <w:tcW w:w="2548" w:type="dxa"/>
            <w:vAlign w:val="top"/>
          </w:tcPr>
          <w:p w14:paraId="261F60CE">
            <w:pPr>
              <w:pStyle w:val="6"/>
              <w:spacing w:before="199" w:line="219" w:lineRule="auto"/>
              <w:ind w:left="373"/>
            </w:pPr>
            <w:r>
              <w:rPr>
                <w:spacing w:val="-1"/>
              </w:rPr>
              <w:t>郭庆龙13947250216</w:t>
            </w:r>
          </w:p>
        </w:tc>
        <w:tc>
          <w:tcPr>
            <w:tcW w:w="2688" w:type="dxa"/>
            <w:vAlign w:val="top"/>
          </w:tcPr>
          <w:p w14:paraId="4EA2CB3F">
            <w:pPr>
              <w:pStyle w:val="6"/>
              <w:spacing w:before="199" w:line="219" w:lineRule="auto"/>
              <w:ind w:left="815"/>
            </w:pPr>
            <w:r>
              <w:rPr>
                <w:spacing w:val="1"/>
              </w:rPr>
              <w:t>办公室主任</w:t>
            </w:r>
          </w:p>
        </w:tc>
        <w:tc>
          <w:tcPr>
            <w:tcW w:w="4322" w:type="dxa"/>
            <w:vMerge w:val="continue"/>
            <w:tcBorders>
              <w:top w:val="nil"/>
              <w:bottom w:val="nil"/>
            </w:tcBorders>
            <w:vAlign w:val="top"/>
          </w:tcPr>
          <w:p w14:paraId="22C62062">
            <w:pPr>
              <w:rPr>
                <w:rFonts w:ascii="Arial"/>
                <w:sz w:val="21"/>
              </w:rPr>
            </w:pPr>
          </w:p>
        </w:tc>
      </w:tr>
      <w:tr w14:paraId="10187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983" w:type="dxa"/>
            <w:vMerge w:val="continue"/>
            <w:tcBorders>
              <w:top w:val="nil"/>
            </w:tcBorders>
            <w:vAlign w:val="top"/>
          </w:tcPr>
          <w:p w14:paraId="51F5EB9A">
            <w:pPr>
              <w:rPr>
                <w:rFonts w:ascii="Arial"/>
                <w:sz w:val="21"/>
              </w:rPr>
            </w:pPr>
          </w:p>
        </w:tc>
        <w:tc>
          <w:tcPr>
            <w:tcW w:w="2408" w:type="dxa"/>
            <w:vAlign w:val="top"/>
          </w:tcPr>
          <w:p w14:paraId="265C7DBD">
            <w:pPr>
              <w:pStyle w:val="6"/>
              <w:spacing w:before="69" w:line="246" w:lineRule="auto"/>
              <w:ind w:left="142" w:right="127"/>
            </w:pPr>
            <w:r>
              <w:rPr>
                <w:spacing w:val="1"/>
              </w:rPr>
              <w:t xml:space="preserve">中国移动通信集团内蒙 </w:t>
            </w:r>
            <w:r>
              <w:rPr>
                <w:spacing w:val="2"/>
              </w:rPr>
              <w:t>古有限公司石拐分公司</w:t>
            </w:r>
          </w:p>
        </w:tc>
        <w:tc>
          <w:tcPr>
            <w:tcW w:w="2548" w:type="dxa"/>
            <w:vAlign w:val="top"/>
          </w:tcPr>
          <w:p w14:paraId="251443D5">
            <w:pPr>
              <w:pStyle w:val="6"/>
              <w:spacing w:before="220" w:line="219" w:lineRule="auto"/>
              <w:ind w:left="373"/>
            </w:pPr>
            <w:r>
              <w:rPr>
                <w:spacing w:val="-1"/>
              </w:rPr>
              <w:t>吴俊玲18647213933</w:t>
            </w:r>
          </w:p>
        </w:tc>
        <w:tc>
          <w:tcPr>
            <w:tcW w:w="2688" w:type="dxa"/>
            <w:vAlign w:val="top"/>
          </w:tcPr>
          <w:p w14:paraId="1D7C81DD">
            <w:pPr>
              <w:pStyle w:val="6"/>
              <w:spacing w:before="220" w:line="219" w:lineRule="auto"/>
              <w:ind w:left="815"/>
            </w:pPr>
            <w:r>
              <w:rPr>
                <w:spacing w:val="1"/>
              </w:rPr>
              <w:t>办公室主任</w:t>
            </w:r>
          </w:p>
        </w:tc>
        <w:tc>
          <w:tcPr>
            <w:tcW w:w="4322" w:type="dxa"/>
            <w:vMerge w:val="continue"/>
            <w:tcBorders>
              <w:top w:val="nil"/>
            </w:tcBorders>
            <w:vAlign w:val="top"/>
          </w:tcPr>
          <w:p w14:paraId="3DDFC401">
            <w:pPr>
              <w:rPr>
                <w:rFonts w:ascii="Arial"/>
                <w:sz w:val="21"/>
              </w:rPr>
            </w:pPr>
          </w:p>
        </w:tc>
      </w:tr>
      <w:tr w14:paraId="7893E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983" w:type="dxa"/>
            <w:vAlign w:val="top"/>
          </w:tcPr>
          <w:p w14:paraId="6EF497F6">
            <w:pPr>
              <w:spacing w:line="451" w:lineRule="auto"/>
              <w:rPr>
                <w:rFonts w:ascii="Arial"/>
                <w:sz w:val="21"/>
              </w:rPr>
            </w:pPr>
          </w:p>
          <w:p w14:paraId="79E2FA28">
            <w:pPr>
              <w:pStyle w:val="6"/>
              <w:spacing w:before="68" w:line="220" w:lineRule="auto"/>
              <w:ind w:left="455"/>
            </w:pPr>
            <w:r>
              <w:rPr>
                <w:spacing w:val="-2"/>
              </w:rPr>
              <w:t>应急专家组</w:t>
            </w:r>
          </w:p>
        </w:tc>
        <w:tc>
          <w:tcPr>
            <w:tcW w:w="2408" w:type="dxa"/>
            <w:vAlign w:val="top"/>
          </w:tcPr>
          <w:p w14:paraId="1C6B9C7B">
            <w:pPr>
              <w:pStyle w:val="6"/>
              <w:spacing w:before="70" w:line="273" w:lineRule="auto"/>
              <w:ind w:left="142" w:right="143"/>
            </w:pPr>
            <w:r>
              <w:t>外聘有关科研机构和单</w:t>
            </w:r>
            <w:r>
              <w:rPr>
                <w:spacing w:val="7"/>
              </w:rPr>
              <w:t xml:space="preserve"> </w:t>
            </w:r>
            <w:r>
              <w:rPr>
                <w:spacing w:val="1"/>
              </w:rPr>
              <w:t>位的专家组成，由包头</w:t>
            </w:r>
          </w:p>
          <w:p w14:paraId="253777DD">
            <w:pPr>
              <w:pStyle w:val="6"/>
              <w:spacing w:line="219" w:lineRule="auto"/>
              <w:ind w:left="142"/>
            </w:pPr>
            <w:r>
              <w:t>市生态环境局石拐区分</w:t>
            </w:r>
          </w:p>
          <w:p w14:paraId="7FD1403A">
            <w:pPr>
              <w:pStyle w:val="6"/>
              <w:spacing w:before="60" w:line="208" w:lineRule="auto"/>
              <w:ind w:left="301"/>
            </w:pPr>
            <w:r>
              <w:rPr>
                <w:color w:val="305050"/>
                <w:spacing w:val="-1"/>
              </w:rPr>
              <w:t>局负责聘用和管理。</w:t>
            </w:r>
          </w:p>
        </w:tc>
        <w:tc>
          <w:tcPr>
            <w:tcW w:w="2548" w:type="dxa"/>
            <w:vAlign w:val="top"/>
          </w:tcPr>
          <w:p w14:paraId="4D0420B8">
            <w:pPr>
              <w:spacing w:line="450" w:lineRule="auto"/>
              <w:rPr>
                <w:rFonts w:ascii="Arial"/>
                <w:sz w:val="21"/>
              </w:rPr>
            </w:pPr>
          </w:p>
          <w:p w14:paraId="5C027B48">
            <w:pPr>
              <w:pStyle w:val="6"/>
              <w:spacing w:before="68" w:line="219" w:lineRule="auto"/>
              <w:ind w:left="373"/>
            </w:pPr>
            <w:r>
              <w:rPr>
                <w:spacing w:val="-1"/>
              </w:rPr>
              <w:t>姬东英15547254454</w:t>
            </w:r>
          </w:p>
        </w:tc>
        <w:tc>
          <w:tcPr>
            <w:tcW w:w="2688" w:type="dxa"/>
            <w:vAlign w:val="top"/>
          </w:tcPr>
          <w:p w14:paraId="3097F1B1">
            <w:pPr>
              <w:spacing w:line="450" w:lineRule="auto"/>
              <w:rPr>
                <w:rFonts w:ascii="Arial"/>
                <w:sz w:val="21"/>
              </w:rPr>
            </w:pPr>
          </w:p>
          <w:p w14:paraId="44612A46">
            <w:pPr>
              <w:pStyle w:val="6"/>
              <w:spacing w:before="68" w:line="219" w:lineRule="auto"/>
              <w:ind w:left="1025"/>
            </w:pPr>
            <w:r>
              <w:rPr>
                <w:spacing w:val="3"/>
              </w:rPr>
              <w:t>副局长</w:t>
            </w:r>
          </w:p>
        </w:tc>
        <w:tc>
          <w:tcPr>
            <w:tcW w:w="4322" w:type="dxa"/>
            <w:vAlign w:val="top"/>
          </w:tcPr>
          <w:p w14:paraId="689B8081">
            <w:pPr>
              <w:pStyle w:val="6"/>
              <w:spacing w:before="50" w:line="219" w:lineRule="auto"/>
              <w:ind w:left="137"/>
            </w:pPr>
            <w:r>
              <w:rPr>
                <w:color w:val="506060"/>
                <w:spacing w:val="-1"/>
              </w:rPr>
              <w:t>为现场应急处置提供技术支持。</w:t>
            </w:r>
          </w:p>
        </w:tc>
      </w:tr>
      <w:tr w14:paraId="3E2CC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983" w:type="dxa"/>
            <w:vMerge w:val="restart"/>
            <w:tcBorders>
              <w:bottom w:val="nil"/>
            </w:tcBorders>
            <w:vAlign w:val="top"/>
          </w:tcPr>
          <w:p w14:paraId="3AC36767">
            <w:pPr>
              <w:spacing w:line="335" w:lineRule="auto"/>
              <w:rPr>
                <w:rFonts w:ascii="Arial"/>
                <w:sz w:val="21"/>
              </w:rPr>
            </w:pPr>
          </w:p>
          <w:p w14:paraId="621A9D64">
            <w:pPr>
              <w:spacing w:line="336" w:lineRule="auto"/>
              <w:rPr>
                <w:rFonts w:ascii="Arial"/>
                <w:sz w:val="21"/>
              </w:rPr>
            </w:pPr>
          </w:p>
          <w:p w14:paraId="71D3C88C">
            <w:pPr>
              <w:pStyle w:val="6"/>
              <w:spacing w:before="69" w:line="220" w:lineRule="auto"/>
              <w:ind w:left="664"/>
            </w:pPr>
            <w:r>
              <w:rPr>
                <w:spacing w:val="-3"/>
              </w:rPr>
              <w:t>综合组</w:t>
            </w:r>
          </w:p>
        </w:tc>
        <w:tc>
          <w:tcPr>
            <w:tcW w:w="2408" w:type="dxa"/>
            <w:vAlign w:val="top"/>
          </w:tcPr>
          <w:p w14:paraId="1E28B10A">
            <w:pPr>
              <w:pStyle w:val="6"/>
              <w:spacing w:before="102" w:line="219" w:lineRule="auto"/>
              <w:ind w:left="461"/>
            </w:pPr>
            <w:r>
              <w:rPr>
                <w:color w:val="304040"/>
                <w:spacing w:val="1"/>
              </w:rPr>
              <w:t>石拐区委宣传部</w:t>
            </w:r>
          </w:p>
        </w:tc>
        <w:tc>
          <w:tcPr>
            <w:tcW w:w="2548" w:type="dxa"/>
            <w:vAlign w:val="top"/>
          </w:tcPr>
          <w:p w14:paraId="482D405B">
            <w:pPr>
              <w:pStyle w:val="6"/>
              <w:spacing w:before="104" w:line="220" w:lineRule="auto"/>
              <w:ind w:left="473"/>
            </w:pPr>
            <w:r>
              <w:rPr>
                <w:spacing w:val="1"/>
              </w:rPr>
              <w:t>哈斯18647993300</w:t>
            </w:r>
          </w:p>
        </w:tc>
        <w:tc>
          <w:tcPr>
            <w:tcW w:w="2688" w:type="dxa"/>
            <w:vAlign w:val="top"/>
          </w:tcPr>
          <w:p w14:paraId="58CC3D95">
            <w:pPr>
              <w:pStyle w:val="6"/>
              <w:spacing w:before="103" w:line="219" w:lineRule="auto"/>
              <w:ind w:left="1025"/>
            </w:pPr>
            <w:r>
              <w:rPr>
                <w:spacing w:val="3"/>
              </w:rPr>
              <w:t>副部长</w:t>
            </w:r>
          </w:p>
        </w:tc>
        <w:tc>
          <w:tcPr>
            <w:tcW w:w="4322" w:type="dxa"/>
            <w:vMerge w:val="restart"/>
            <w:tcBorders>
              <w:bottom w:val="nil"/>
            </w:tcBorders>
            <w:vAlign w:val="top"/>
          </w:tcPr>
          <w:p w14:paraId="14493DDF">
            <w:pPr>
              <w:pStyle w:val="6"/>
              <w:spacing w:before="61" w:line="218" w:lineRule="auto"/>
              <w:jc w:val="right"/>
            </w:pPr>
            <w:r>
              <w:rPr>
                <w:color w:val="405050"/>
                <w:spacing w:val="-2"/>
              </w:rPr>
              <w:t>负责信息报告、信息发布和舆情应对等工作。</w:t>
            </w:r>
          </w:p>
        </w:tc>
      </w:tr>
      <w:tr w14:paraId="3601F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983" w:type="dxa"/>
            <w:vMerge w:val="continue"/>
            <w:tcBorders>
              <w:top w:val="nil"/>
              <w:bottom w:val="nil"/>
            </w:tcBorders>
            <w:vAlign w:val="top"/>
          </w:tcPr>
          <w:p w14:paraId="3952DA88">
            <w:pPr>
              <w:rPr>
                <w:rFonts w:ascii="Arial"/>
                <w:sz w:val="21"/>
              </w:rPr>
            </w:pPr>
          </w:p>
        </w:tc>
        <w:tc>
          <w:tcPr>
            <w:tcW w:w="2408" w:type="dxa"/>
            <w:vAlign w:val="top"/>
          </w:tcPr>
          <w:p w14:paraId="0B69D1A0">
            <w:pPr>
              <w:pStyle w:val="6"/>
              <w:spacing w:before="104" w:line="219" w:lineRule="auto"/>
              <w:ind w:left="561"/>
            </w:pPr>
            <w:r>
              <w:rPr>
                <w:spacing w:val="3"/>
              </w:rPr>
              <w:t>石拐区教育局</w:t>
            </w:r>
          </w:p>
        </w:tc>
        <w:tc>
          <w:tcPr>
            <w:tcW w:w="2548" w:type="dxa"/>
            <w:vAlign w:val="top"/>
          </w:tcPr>
          <w:p w14:paraId="2853D6E9">
            <w:pPr>
              <w:pStyle w:val="6"/>
              <w:spacing w:before="108" w:line="222" w:lineRule="auto"/>
              <w:ind w:left="373"/>
            </w:pPr>
            <w:r>
              <w:t>田锡钢13848239468</w:t>
            </w:r>
          </w:p>
        </w:tc>
        <w:tc>
          <w:tcPr>
            <w:tcW w:w="2688" w:type="dxa"/>
            <w:vAlign w:val="top"/>
          </w:tcPr>
          <w:p w14:paraId="0BAF1558">
            <w:pPr>
              <w:pStyle w:val="6"/>
              <w:spacing w:before="104" w:line="219" w:lineRule="auto"/>
              <w:ind w:left="1025"/>
            </w:pPr>
            <w:r>
              <w:rPr>
                <w:spacing w:val="3"/>
              </w:rPr>
              <w:t>副局长</w:t>
            </w:r>
          </w:p>
        </w:tc>
        <w:tc>
          <w:tcPr>
            <w:tcW w:w="4322" w:type="dxa"/>
            <w:vMerge w:val="continue"/>
            <w:tcBorders>
              <w:top w:val="nil"/>
              <w:bottom w:val="nil"/>
            </w:tcBorders>
            <w:vAlign w:val="top"/>
          </w:tcPr>
          <w:p w14:paraId="405F6586">
            <w:pPr>
              <w:rPr>
                <w:rFonts w:ascii="Arial"/>
                <w:sz w:val="21"/>
              </w:rPr>
            </w:pPr>
          </w:p>
        </w:tc>
      </w:tr>
      <w:tr w14:paraId="6CB8A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83" w:type="dxa"/>
            <w:vMerge w:val="continue"/>
            <w:tcBorders>
              <w:top w:val="nil"/>
              <w:bottom w:val="nil"/>
            </w:tcBorders>
            <w:vAlign w:val="top"/>
          </w:tcPr>
          <w:p w14:paraId="713B725B">
            <w:pPr>
              <w:rPr>
                <w:rFonts w:ascii="Arial"/>
                <w:sz w:val="21"/>
              </w:rPr>
            </w:pPr>
          </w:p>
        </w:tc>
        <w:tc>
          <w:tcPr>
            <w:tcW w:w="2408" w:type="dxa"/>
            <w:vAlign w:val="top"/>
          </w:tcPr>
          <w:p w14:paraId="63CD63AA">
            <w:pPr>
              <w:pStyle w:val="6"/>
              <w:spacing w:before="96" w:line="220" w:lineRule="auto"/>
              <w:ind w:left="251"/>
            </w:pPr>
            <w:r>
              <w:rPr>
                <w:color w:val="204030"/>
                <w:spacing w:val="2"/>
              </w:rPr>
              <w:t>石拐区文广电旅游局</w:t>
            </w:r>
          </w:p>
        </w:tc>
        <w:tc>
          <w:tcPr>
            <w:tcW w:w="2548" w:type="dxa"/>
            <w:vAlign w:val="top"/>
          </w:tcPr>
          <w:p w14:paraId="224F46AC">
            <w:pPr>
              <w:pStyle w:val="6"/>
              <w:spacing w:before="96" w:line="220" w:lineRule="auto"/>
              <w:ind w:left="473"/>
            </w:pPr>
            <w:r>
              <w:rPr>
                <w:spacing w:val="1"/>
              </w:rPr>
              <w:t>马君15848248966</w:t>
            </w:r>
          </w:p>
        </w:tc>
        <w:tc>
          <w:tcPr>
            <w:tcW w:w="2688" w:type="dxa"/>
            <w:vAlign w:val="top"/>
          </w:tcPr>
          <w:p w14:paraId="64FDC0F6">
            <w:pPr>
              <w:pStyle w:val="6"/>
              <w:spacing w:before="95" w:line="219" w:lineRule="auto"/>
              <w:ind w:left="1025"/>
            </w:pPr>
            <w:r>
              <w:rPr>
                <w:spacing w:val="6"/>
              </w:rPr>
              <w:t>副局</w:t>
            </w:r>
            <w:r>
              <w:rPr>
                <w:color w:val="304040"/>
                <w:spacing w:val="6"/>
              </w:rPr>
              <w:t>长</w:t>
            </w:r>
          </w:p>
        </w:tc>
        <w:tc>
          <w:tcPr>
            <w:tcW w:w="4322" w:type="dxa"/>
            <w:vMerge w:val="continue"/>
            <w:tcBorders>
              <w:top w:val="nil"/>
              <w:bottom w:val="nil"/>
            </w:tcBorders>
            <w:vAlign w:val="top"/>
          </w:tcPr>
          <w:p w14:paraId="3A7AC13E">
            <w:pPr>
              <w:rPr>
                <w:rFonts w:ascii="Arial"/>
                <w:sz w:val="21"/>
              </w:rPr>
            </w:pPr>
          </w:p>
        </w:tc>
      </w:tr>
      <w:tr w14:paraId="75420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83" w:type="dxa"/>
            <w:vMerge w:val="continue"/>
            <w:tcBorders>
              <w:top w:val="nil"/>
            </w:tcBorders>
            <w:vAlign w:val="top"/>
          </w:tcPr>
          <w:p w14:paraId="3B1C64DC">
            <w:pPr>
              <w:rPr>
                <w:rFonts w:ascii="Arial"/>
                <w:sz w:val="21"/>
              </w:rPr>
            </w:pPr>
          </w:p>
        </w:tc>
        <w:tc>
          <w:tcPr>
            <w:tcW w:w="2408" w:type="dxa"/>
            <w:vAlign w:val="top"/>
          </w:tcPr>
          <w:p w14:paraId="40CC92C7">
            <w:pPr>
              <w:pStyle w:val="6"/>
              <w:spacing w:before="126" w:line="220" w:lineRule="auto"/>
              <w:ind w:left="561"/>
            </w:pPr>
            <w:r>
              <w:rPr>
                <w:spacing w:val="3"/>
              </w:rPr>
              <w:t>石拐区民政局</w:t>
            </w:r>
          </w:p>
        </w:tc>
        <w:tc>
          <w:tcPr>
            <w:tcW w:w="2548" w:type="dxa"/>
            <w:vAlign w:val="top"/>
          </w:tcPr>
          <w:p w14:paraId="33F7E669">
            <w:pPr>
              <w:pStyle w:val="6"/>
              <w:spacing w:before="126" w:line="220" w:lineRule="auto"/>
              <w:ind w:left="373"/>
            </w:pPr>
            <w:r>
              <w:rPr>
                <w:spacing w:val="-1"/>
              </w:rPr>
              <w:t>李玉芳13847284138</w:t>
            </w:r>
          </w:p>
        </w:tc>
        <w:tc>
          <w:tcPr>
            <w:tcW w:w="2688" w:type="dxa"/>
            <w:vAlign w:val="top"/>
          </w:tcPr>
          <w:p w14:paraId="704C8558">
            <w:pPr>
              <w:pStyle w:val="6"/>
              <w:spacing w:before="125" w:line="219" w:lineRule="auto"/>
              <w:ind w:left="815"/>
            </w:pPr>
            <w:r>
              <w:rPr>
                <w:spacing w:val="1"/>
              </w:rPr>
              <w:t>办公室主任</w:t>
            </w:r>
          </w:p>
        </w:tc>
        <w:tc>
          <w:tcPr>
            <w:tcW w:w="4322" w:type="dxa"/>
            <w:vMerge w:val="continue"/>
            <w:tcBorders>
              <w:top w:val="nil"/>
            </w:tcBorders>
            <w:vAlign w:val="top"/>
          </w:tcPr>
          <w:p w14:paraId="048631AE">
            <w:pPr>
              <w:rPr>
                <w:rFonts w:ascii="Arial"/>
                <w:sz w:val="21"/>
              </w:rPr>
            </w:pPr>
          </w:p>
        </w:tc>
      </w:tr>
      <w:tr w14:paraId="0BA51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2" w:hRule="atLeast"/>
        </w:trPr>
        <w:tc>
          <w:tcPr>
            <w:tcW w:w="1983" w:type="dxa"/>
            <w:vAlign w:val="top"/>
          </w:tcPr>
          <w:p w14:paraId="78C9F83F">
            <w:pPr>
              <w:spacing w:line="307" w:lineRule="auto"/>
              <w:rPr>
                <w:rFonts w:ascii="Arial"/>
                <w:sz w:val="21"/>
              </w:rPr>
            </w:pPr>
          </w:p>
          <w:p w14:paraId="2B9EFC19">
            <w:pPr>
              <w:spacing w:line="307" w:lineRule="auto"/>
              <w:rPr>
                <w:rFonts w:ascii="Arial"/>
                <w:sz w:val="21"/>
              </w:rPr>
            </w:pPr>
          </w:p>
          <w:p w14:paraId="2EC8A811">
            <w:pPr>
              <w:spacing w:line="308" w:lineRule="auto"/>
              <w:rPr>
                <w:rFonts w:ascii="Arial"/>
                <w:sz w:val="21"/>
              </w:rPr>
            </w:pPr>
          </w:p>
          <w:p w14:paraId="1D348F7C">
            <w:pPr>
              <w:pStyle w:val="6"/>
              <w:spacing w:before="69" w:line="219" w:lineRule="auto"/>
              <w:ind w:left="455"/>
            </w:pPr>
            <w:r>
              <w:rPr>
                <w:spacing w:val="1"/>
              </w:rPr>
              <w:t>医疗救护组</w:t>
            </w:r>
          </w:p>
        </w:tc>
        <w:tc>
          <w:tcPr>
            <w:tcW w:w="2408" w:type="dxa"/>
            <w:vAlign w:val="top"/>
          </w:tcPr>
          <w:p w14:paraId="54DC0678">
            <w:pPr>
              <w:spacing w:line="307" w:lineRule="auto"/>
              <w:rPr>
                <w:rFonts w:ascii="Arial"/>
                <w:sz w:val="21"/>
              </w:rPr>
            </w:pPr>
          </w:p>
          <w:p w14:paraId="6CF40926">
            <w:pPr>
              <w:spacing w:line="308" w:lineRule="auto"/>
              <w:rPr>
                <w:rFonts w:ascii="Arial"/>
                <w:sz w:val="21"/>
              </w:rPr>
            </w:pPr>
          </w:p>
          <w:p w14:paraId="041519AC">
            <w:pPr>
              <w:spacing w:line="308" w:lineRule="auto"/>
              <w:rPr>
                <w:rFonts w:ascii="Arial"/>
                <w:sz w:val="21"/>
              </w:rPr>
            </w:pPr>
          </w:p>
          <w:p w14:paraId="42BB90A8">
            <w:pPr>
              <w:pStyle w:val="6"/>
              <w:spacing w:before="68" w:line="220" w:lineRule="auto"/>
              <w:ind w:left="561"/>
            </w:pPr>
            <w:r>
              <w:rPr>
                <w:spacing w:val="-2"/>
              </w:rPr>
              <w:t>石拐区卫健委</w:t>
            </w:r>
          </w:p>
        </w:tc>
        <w:tc>
          <w:tcPr>
            <w:tcW w:w="2548" w:type="dxa"/>
            <w:vAlign w:val="top"/>
          </w:tcPr>
          <w:p w14:paraId="076B177C">
            <w:pPr>
              <w:spacing w:line="307" w:lineRule="auto"/>
              <w:rPr>
                <w:rFonts w:ascii="Arial"/>
                <w:sz w:val="21"/>
              </w:rPr>
            </w:pPr>
          </w:p>
          <w:p w14:paraId="1F1C82BC">
            <w:pPr>
              <w:spacing w:line="307" w:lineRule="auto"/>
              <w:rPr>
                <w:rFonts w:ascii="Arial"/>
                <w:sz w:val="21"/>
              </w:rPr>
            </w:pPr>
          </w:p>
          <w:p w14:paraId="0DFC69C2">
            <w:pPr>
              <w:spacing w:line="308" w:lineRule="auto"/>
              <w:rPr>
                <w:rFonts w:ascii="Arial"/>
                <w:sz w:val="21"/>
              </w:rPr>
            </w:pPr>
          </w:p>
          <w:p w14:paraId="3CB2E278">
            <w:pPr>
              <w:pStyle w:val="6"/>
              <w:spacing w:before="69" w:line="219" w:lineRule="auto"/>
              <w:ind w:left="473"/>
            </w:pPr>
            <w:r>
              <w:rPr>
                <w:spacing w:val="1"/>
              </w:rPr>
              <w:t>渠娜15540286280</w:t>
            </w:r>
          </w:p>
        </w:tc>
        <w:tc>
          <w:tcPr>
            <w:tcW w:w="2688" w:type="dxa"/>
            <w:vAlign w:val="top"/>
          </w:tcPr>
          <w:p w14:paraId="042C4409">
            <w:pPr>
              <w:spacing w:line="307" w:lineRule="auto"/>
              <w:rPr>
                <w:rFonts w:ascii="Arial"/>
                <w:sz w:val="21"/>
              </w:rPr>
            </w:pPr>
          </w:p>
          <w:p w14:paraId="46C5D438">
            <w:pPr>
              <w:spacing w:line="307" w:lineRule="auto"/>
              <w:rPr>
                <w:rFonts w:ascii="Arial"/>
                <w:sz w:val="21"/>
              </w:rPr>
            </w:pPr>
          </w:p>
          <w:p w14:paraId="16935E43">
            <w:pPr>
              <w:spacing w:line="308" w:lineRule="auto"/>
              <w:rPr>
                <w:rFonts w:ascii="Arial"/>
                <w:sz w:val="21"/>
              </w:rPr>
            </w:pPr>
          </w:p>
          <w:p w14:paraId="480EF383">
            <w:pPr>
              <w:pStyle w:val="6"/>
              <w:spacing w:before="69" w:line="219" w:lineRule="auto"/>
              <w:ind w:left="1025"/>
            </w:pPr>
            <w:r>
              <w:rPr>
                <w:spacing w:val="3"/>
              </w:rPr>
              <w:t>副局长</w:t>
            </w:r>
          </w:p>
        </w:tc>
        <w:tc>
          <w:tcPr>
            <w:tcW w:w="4322" w:type="dxa"/>
            <w:vAlign w:val="top"/>
          </w:tcPr>
          <w:p w14:paraId="44A1DEDA">
            <w:pPr>
              <w:pStyle w:val="6"/>
              <w:spacing w:before="76" w:line="219" w:lineRule="auto"/>
              <w:jc w:val="right"/>
            </w:pPr>
            <w:r>
              <w:rPr>
                <w:color w:val="406060"/>
                <w:spacing w:val="-1"/>
              </w:rPr>
              <w:t>组织开展伤病员医疗救治、应急心理援助；指</w:t>
            </w:r>
          </w:p>
          <w:p w14:paraId="345B4E92">
            <w:pPr>
              <w:pStyle w:val="6"/>
              <w:spacing w:before="61" w:line="220" w:lineRule="auto"/>
              <w:jc w:val="right"/>
            </w:pPr>
            <w:r>
              <w:rPr>
                <w:color w:val="506060"/>
                <w:spacing w:val="-2"/>
              </w:rPr>
              <w:t>导和协助开展受污染人员的去污洗消工作；提</w:t>
            </w:r>
          </w:p>
          <w:p w14:paraId="15A3974E">
            <w:pPr>
              <w:pStyle w:val="6"/>
              <w:spacing w:before="69" w:line="219" w:lineRule="auto"/>
              <w:ind w:right="1"/>
              <w:jc w:val="right"/>
            </w:pPr>
            <w:r>
              <w:rPr>
                <w:color w:val="404050"/>
                <w:spacing w:val="-2"/>
              </w:rPr>
              <w:t>出保护公众健康的措施建议；</w:t>
            </w:r>
            <w:r>
              <w:rPr>
                <w:color w:val="505050"/>
                <w:spacing w:val="-2"/>
              </w:rPr>
              <w:t>禁止或限制受污</w:t>
            </w:r>
          </w:p>
          <w:p w14:paraId="45D3B274">
            <w:pPr>
              <w:pStyle w:val="6"/>
              <w:spacing w:before="50" w:line="219" w:lineRule="auto"/>
              <w:jc w:val="right"/>
            </w:pPr>
            <w:r>
              <w:rPr>
                <w:color w:val="304040"/>
                <w:spacing w:val="-1"/>
              </w:rPr>
              <w:t>染食品和饮用水的生产、加工、流通和食用，</w:t>
            </w:r>
          </w:p>
          <w:p w14:paraId="676B7F91">
            <w:pPr>
              <w:pStyle w:val="6"/>
              <w:spacing w:before="71" w:line="219" w:lineRule="auto"/>
              <w:ind w:left="127"/>
            </w:pPr>
            <w:r>
              <w:rPr>
                <w:color w:val="506060"/>
                <w:spacing w:val="-1"/>
              </w:rPr>
              <w:t>防范因突发环境事件造成集体中毒等。</w:t>
            </w:r>
          </w:p>
        </w:tc>
      </w:tr>
    </w:tbl>
    <w:p w14:paraId="208D6F00">
      <w:pPr>
        <w:rPr>
          <w:rFonts w:ascii="Arial"/>
          <w:sz w:val="21"/>
        </w:rPr>
      </w:pPr>
    </w:p>
    <w:p w14:paraId="2473DB4E">
      <w:pPr>
        <w:rPr>
          <w:rFonts w:ascii="Arial" w:hAnsi="Arial" w:eastAsia="Arial" w:cs="Arial"/>
          <w:sz w:val="21"/>
          <w:szCs w:val="21"/>
        </w:rPr>
        <w:sectPr>
          <w:footerReference r:id="rId21" w:type="default"/>
          <w:pgSz w:w="16850" w:h="11910"/>
          <w:pgMar w:top="1012" w:right="1524" w:bottom="1492" w:left="1365" w:header="0" w:footer="1321" w:gutter="0"/>
          <w:cols w:space="720" w:num="1"/>
        </w:sectPr>
      </w:pPr>
    </w:p>
    <w:p w14:paraId="0C10BDE9">
      <w:pPr>
        <w:spacing w:before="115"/>
      </w:pPr>
    </w:p>
    <w:p w14:paraId="0010DE04">
      <w:pPr>
        <w:spacing w:before="114"/>
      </w:pPr>
    </w:p>
    <w:tbl>
      <w:tblPr>
        <w:tblStyle w:val="5"/>
        <w:tblW w:w="139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4"/>
        <w:gridCol w:w="2398"/>
        <w:gridCol w:w="2538"/>
        <w:gridCol w:w="2708"/>
        <w:gridCol w:w="4312"/>
      </w:tblGrid>
      <w:tr w14:paraId="04062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1" w:hRule="atLeast"/>
        </w:trPr>
        <w:tc>
          <w:tcPr>
            <w:tcW w:w="1984" w:type="dxa"/>
            <w:vMerge w:val="restart"/>
            <w:tcBorders>
              <w:bottom w:val="nil"/>
            </w:tcBorders>
            <w:vAlign w:val="top"/>
          </w:tcPr>
          <w:p w14:paraId="5FCBA600">
            <w:pPr>
              <w:spacing w:line="250" w:lineRule="auto"/>
              <w:rPr>
                <w:rFonts w:ascii="Arial"/>
                <w:sz w:val="21"/>
              </w:rPr>
            </w:pPr>
          </w:p>
          <w:p w14:paraId="333BDD92">
            <w:pPr>
              <w:spacing w:line="250" w:lineRule="auto"/>
              <w:rPr>
                <w:rFonts w:ascii="Arial"/>
                <w:sz w:val="21"/>
              </w:rPr>
            </w:pPr>
          </w:p>
          <w:p w14:paraId="444AF808">
            <w:pPr>
              <w:spacing w:line="250" w:lineRule="auto"/>
              <w:rPr>
                <w:rFonts w:ascii="Arial"/>
                <w:sz w:val="21"/>
              </w:rPr>
            </w:pPr>
          </w:p>
          <w:p w14:paraId="14331B12">
            <w:pPr>
              <w:spacing w:line="250" w:lineRule="auto"/>
              <w:rPr>
                <w:rFonts w:ascii="Arial"/>
                <w:sz w:val="21"/>
              </w:rPr>
            </w:pPr>
          </w:p>
          <w:p w14:paraId="2EB6F8B7">
            <w:pPr>
              <w:spacing w:line="250" w:lineRule="auto"/>
              <w:rPr>
                <w:rFonts w:ascii="Arial"/>
                <w:sz w:val="21"/>
              </w:rPr>
            </w:pPr>
          </w:p>
          <w:p w14:paraId="2F1078FE">
            <w:pPr>
              <w:spacing w:line="250" w:lineRule="auto"/>
              <w:rPr>
                <w:rFonts w:ascii="Arial"/>
                <w:sz w:val="21"/>
              </w:rPr>
            </w:pPr>
          </w:p>
          <w:p w14:paraId="0A87806F">
            <w:pPr>
              <w:spacing w:line="250" w:lineRule="auto"/>
              <w:rPr>
                <w:rFonts w:ascii="Arial"/>
                <w:sz w:val="21"/>
              </w:rPr>
            </w:pPr>
          </w:p>
          <w:p w14:paraId="2027AD11">
            <w:pPr>
              <w:spacing w:line="251" w:lineRule="auto"/>
              <w:rPr>
                <w:rFonts w:ascii="Arial"/>
                <w:sz w:val="21"/>
              </w:rPr>
            </w:pPr>
          </w:p>
          <w:p w14:paraId="5A215399">
            <w:pPr>
              <w:pStyle w:val="6"/>
              <w:spacing w:before="68" w:line="219" w:lineRule="auto"/>
              <w:ind w:left="464"/>
            </w:pPr>
            <w:r>
              <w:rPr>
                <w:color w:val="405050"/>
                <w:spacing w:val="-2"/>
              </w:rPr>
              <w:t>社会维稳组</w:t>
            </w:r>
          </w:p>
        </w:tc>
        <w:tc>
          <w:tcPr>
            <w:tcW w:w="2398" w:type="dxa"/>
            <w:vAlign w:val="top"/>
          </w:tcPr>
          <w:p w14:paraId="1039FFD5">
            <w:pPr>
              <w:spacing w:line="281" w:lineRule="auto"/>
              <w:rPr>
                <w:rFonts w:ascii="Arial"/>
                <w:sz w:val="21"/>
              </w:rPr>
            </w:pPr>
          </w:p>
          <w:p w14:paraId="295C10B0">
            <w:pPr>
              <w:spacing w:line="281" w:lineRule="auto"/>
              <w:rPr>
                <w:rFonts w:ascii="Arial"/>
                <w:sz w:val="21"/>
              </w:rPr>
            </w:pPr>
          </w:p>
          <w:p w14:paraId="3E83065B">
            <w:pPr>
              <w:pStyle w:val="6"/>
              <w:spacing w:before="68" w:line="220" w:lineRule="auto"/>
              <w:ind w:left="451"/>
            </w:pPr>
            <w:r>
              <w:rPr>
                <w:spacing w:val="2"/>
              </w:rPr>
              <w:t>石拐区公安分局</w:t>
            </w:r>
          </w:p>
        </w:tc>
        <w:tc>
          <w:tcPr>
            <w:tcW w:w="2538" w:type="dxa"/>
            <w:vAlign w:val="top"/>
          </w:tcPr>
          <w:p w14:paraId="52855480">
            <w:pPr>
              <w:spacing w:line="281" w:lineRule="auto"/>
              <w:rPr>
                <w:rFonts w:ascii="Arial"/>
                <w:sz w:val="21"/>
              </w:rPr>
            </w:pPr>
          </w:p>
          <w:p w14:paraId="0BD753B3">
            <w:pPr>
              <w:spacing w:line="281" w:lineRule="auto"/>
              <w:rPr>
                <w:rFonts w:ascii="Arial"/>
                <w:sz w:val="21"/>
              </w:rPr>
            </w:pPr>
          </w:p>
          <w:p w14:paraId="2A606434">
            <w:pPr>
              <w:pStyle w:val="6"/>
              <w:spacing w:before="68" w:line="220" w:lineRule="auto"/>
              <w:ind w:left="363"/>
            </w:pPr>
            <w:r>
              <w:rPr>
                <w:spacing w:val="1"/>
              </w:rPr>
              <w:t>张飞雄15847288971</w:t>
            </w:r>
          </w:p>
        </w:tc>
        <w:tc>
          <w:tcPr>
            <w:tcW w:w="2708" w:type="dxa"/>
            <w:vAlign w:val="top"/>
          </w:tcPr>
          <w:p w14:paraId="692EBB4F">
            <w:pPr>
              <w:spacing w:line="281" w:lineRule="auto"/>
              <w:rPr>
                <w:rFonts w:ascii="Arial"/>
                <w:sz w:val="21"/>
              </w:rPr>
            </w:pPr>
          </w:p>
          <w:p w14:paraId="670B42D8">
            <w:pPr>
              <w:spacing w:line="281" w:lineRule="auto"/>
              <w:rPr>
                <w:rFonts w:ascii="Arial"/>
                <w:sz w:val="21"/>
              </w:rPr>
            </w:pPr>
          </w:p>
          <w:p w14:paraId="2C7B7B5E">
            <w:pPr>
              <w:pStyle w:val="6"/>
              <w:spacing w:before="68" w:line="219" w:lineRule="auto"/>
              <w:ind w:left="1034"/>
            </w:pPr>
            <w:r>
              <w:rPr>
                <w:spacing w:val="3"/>
              </w:rPr>
              <w:t>副局长</w:t>
            </w:r>
          </w:p>
        </w:tc>
        <w:tc>
          <w:tcPr>
            <w:tcW w:w="4312" w:type="dxa"/>
            <w:vMerge w:val="restart"/>
            <w:tcBorders>
              <w:bottom w:val="nil"/>
            </w:tcBorders>
            <w:vAlign w:val="top"/>
          </w:tcPr>
          <w:p w14:paraId="6FE6C778">
            <w:pPr>
              <w:pStyle w:val="6"/>
              <w:spacing w:before="52" w:line="219" w:lineRule="auto"/>
              <w:ind w:left="46"/>
            </w:pPr>
            <w:r>
              <w:rPr>
                <w:color w:val="304040"/>
                <w:spacing w:val="-1"/>
              </w:rPr>
              <w:t>加强受影响地区社会治安管理，</w:t>
            </w:r>
            <w:r>
              <w:rPr>
                <w:spacing w:val="-1"/>
              </w:rPr>
              <w:t>严厉打击借机</w:t>
            </w:r>
          </w:p>
          <w:p w14:paraId="794D55E2">
            <w:pPr>
              <w:pStyle w:val="6"/>
              <w:spacing w:before="60" w:line="219" w:lineRule="auto"/>
              <w:ind w:left="46"/>
            </w:pPr>
            <w:r>
              <w:rPr>
                <w:color w:val="505060"/>
                <w:spacing w:val="-1"/>
              </w:rPr>
              <w:t>传播谣言制造社会恐慌、哄抢物资等违法犯罪</w:t>
            </w:r>
          </w:p>
          <w:p w14:paraId="100A0097">
            <w:pPr>
              <w:pStyle w:val="6"/>
              <w:spacing w:before="70" w:line="275" w:lineRule="auto"/>
              <w:ind w:left="46"/>
              <w:jc w:val="both"/>
            </w:pPr>
            <w:r>
              <w:rPr>
                <w:spacing w:val="-1"/>
              </w:rPr>
              <w:t>行为；组织开展事件进展、应急工作情况等权</w:t>
            </w:r>
            <w:r>
              <w:rPr>
                <w:spacing w:val="7"/>
              </w:rPr>
              <w:t xml:space="preserve"> </w:t>
            </w:r>
            <w:r>
              <w:rPr>
                <w:spacing w:val="1"/>
              </w:rPr>
              <w:t>威信息发布，加强新闻宣传报道；收集分析国</w:t>
            </w:r>
            <w:r>
              <w:t xml:space="preserve"> 内外舆情和社会公众动态，加强媒体、电信和</w:t>
            </w:r>
            <w:r>
              <w:rPr>
                <w:spacing w:val="16"/>
              </w:rPr>
              <w:t xml:space="preserve"> </w:t>
            </w:r>
            <w:r>
              <w:rPr>
                <w:spacing w:val="2"/>
              </w:rPr>
              <w:t>互联网管理，正确引导舆论；通过多种方式，</w:t>
            </w:r>
          </w:p>
          <w:p w14:paraId="2548C94F">
            <w:pPr>
              <w:pStyle w:val="6"/>
              <w:spacing w:line="219" w:lineRule="auto"/>
              <w:jc w:val="right"/>
            </w:pPr>
            <w:r>
              <w:rPr>
                <w:color w:val="304040"/>
                <w:spacing w:val="-12"/>
              </w:rPr>
              <w:t>通俗、权威、全面、前瞻地做好相关知识普及；</w:t>
            </w:r>
          </w:p>
          <w:p w14:paraId="1EE85146">
            <w:pPr>
              <w:pStyle w:val="6"/>
              <w:spacing w:before="59" w:line="219" w:lineRule="auto"/>
              <w:ind w:left="117"/>
            </w:pPr>
            <w:r>
              <w:rPr>
                <w:spacing w:val="-1"/>
              </w:rPr>
              <w:t>及时澄清不实信息，回应社会关切。</w:t>
            </w:r>
          </w:p>
          <w:p w14:paraId="5F131FCC">
            <w:pPr>
              <w:pStyle w:val="6"/>
              <w:spacing w:before="62" w:line="219" w:lineRule="auto"/>
              <w:ind w:left="46"/>
            </w:pPr>
            <w:r>
              <w:rPr>
                <w:color w:val="304040"/>
              </w:rPr>
              <w:t>加强转移人员安置点、救灾物资存放点等重点</w:t>
            </w:r>
          </w:p>
          <w:p w14:paraId="58DA8F95">
            <w:pPr>
              <w:pStyle w:val="6"/>
              <w:spacing w:before="81" w:line="219" w:lineRule="auto"/>
              <w:jc w:val="right"/>
            </w:pPr>
            <w:r>
              <w:rPr>
                <w:spacing w:val="2"/>
              </w:rPr>
              <w:t>地区治安管控；</w:t>
            </w:r>
            <w:r>
              <w:rPr>
                <w:color w:val="405050"/>
                <w:spacing w:val="2"/>
              </w:rPr>
              <w:t>做好受影响人员与涉事单位、</w:t>
            </w:r>
          </w:p>
          <w:p w14:paraId="6A3EE154">
            <w:pPr>
              <w:pStyle w:val="6"/>
              <w:spacing w:before="48" w:line="259" w:lineRule="auto"/>
              <w:ind w:left="46" w:right="39" w:firstLine="110"/>
            </w:pPr>
            <w:r>
              <w:rPr>
                <w:spacing w:val="-1"/>
              </w:rPr>
              <w:t>县、镇政府(农场)及有关部门矛盾纠纷化解</w:t>
            </w:r>
            <w:r>
              <w:rPr>
                <w:spacing w:val="4"/>
              </w:rPr>
              <w:t xml:space="preserve">  </w:t>
            </w:r>
            <w:r>
              <w:t>和法律服务工作，防止出现群体性事件，维护</w:t>
            </w:r>
            <w:r>
              <w:rPr>
                <w:spacing w:val="14"/>
              </w:rPr>
              <w:t xml:space="preserve"> </w:t>
            </w:r>
            <w:r>
              <w:rPr>
                <w:spacing w:val="-1"/>
              </w:rPr>
              <w:t>社会稳定；加强对重要生活必需品等商品的县</w:t>
            </w:r>
            <w:r>
              <w:rPr>
                <w:spacing w:val="9"/>
              </w:rPr>
              <w:t xml:space="preserve"> </w:t>
            </w:r>
            <w:r>
              <w:rPr>
                <w:spacing w:val="4"/>
              </w:rPr>
              <w:t>场监管和调控，打击囤积居奇行为。</w:t>
            </w:r>
          </w:p>
        </w:tc>
      </w:tr>
      <w:tr w14:paraId="0A79B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8" w:hRule="atLeast"/>
        </w:trPr>
        <w:tc>
          <w:tcPr>
            <w:tcW w:w="1984" w:type="dxa"/>
            <w:vMerge w:val="continue"/>
            <w:tcBorders>
              <w:top w:val="nil"/>
            </w:tcBorders>
            <w:vAlign w:val="top"/>
          </w:tcPr>
          <w:p w14:paraId="6829C42C">
            <w:pPr>
              <w:rPr>
                <w:rFonts w:ascii="Arial"/>
                <w:sz w:val="21"/>
              </w:rPr>
            </w:pPr>
          </w:p>
        </w:tc>
        <w:tc>
          <w:tcPr>
            <w:tcW w:w="2398" w:type="dxa"/>
            <w:vAlign w:val="top"/>
          </w:tcPr>
          <w:p w14:paraId="54C60C36">
            <w:pPr>
              <w:spacing w:line="255" w:lineRule="auto"/>
              <w:rPr>
                <w:rFonts w:ascii="Arial"/>
                <w:sz w:val="21"/>
              </w:rPr>
            </w:pPr>
          </w:p>
          <w:p w14:paraId="1D3328E0">
            <w:pPr>
              <w:spacing w:line="255" w:lineRule="auto"/>
              <w:rPr>
                <w:rFonts w:ascii="Arial"/>
                <w:sz w:val="21"/>
              </w:rPr>
            </w:pPr>
          </w:p>
          <w:p w14:paraId="01560F80">
            <w:pPr>
              <w:spacing w:line="255" w:lineRule="auto"/>
              <w:rPr>
                <w:rFonts w:ascii="Arial"/>
                <w:sz w:val="21"/>
              </w:rPr>
            </w:pPr>
          </w:p>
          <w:p w14:paraId="4A8997C1">
            <w:pPr>
              <w:spacing w:line="256" w:lineRule="auto"/>
              <w:rPr>
                <w:rFonts w:ascii="Arial"/>
                <w:sz w:val="21"/>
              </w:rPr>
            </w:pPr>
          </w:p>
          <w:p w14:paraId="7F7D023A">
            <w:pPr>
              <w:spacing w:line="256" w:lineRule="auto"/>
              <w:rPr>
                <w:rFonts w:ascii="Arial"/>
                <w:sz w:val="21"/>
              </w:rPr>
            </w:pPr>
          </w:p>
          <w:p w14:paraId="1BE28F88">
            <w:pPr>
              <w:pStyle w:val="6"/>
              <w:spacing w:before="68" w:line="220" w:lineRule="auto"/>
              <w:ind w:left="561"/>
            </w:pPr>
            <w:r>
              <w:rPr>
                <w:color w:val="304040"/>
                <w:spacing w:val="3"/>
              </w:rPr>
              <w:t>石拐区司法局</w:t>
            </w:r>
          </w:p>
        </w:tc>
        <w:tc>
          <w:tcPr>
            <w:tcW w:w="2538" w:type="dxa"/>
            <w:vAlign w:val="top"/>
          </w:tcPr>
          <w:p w14:paraId="1F82AAEE">
            <w:pPr>
              <w:spacing w:line="255" w:lineRule="auto"/>
              <w:rPr>
                <w:rFonts w:ascii="Arial"/>
                <w:sz w:val="21"/>
              </w:rPr>
            </w:pPr>
          </w:p>
          <w:p w14:paraId="0FB6F69D">
            <w:pPr>
              <w:spacing w:line="255" w:lineRule="auto"/>
              <w:rPr>
                <w:rFonts w:ascii="Arial"/>
                <w:sz w:val="21"/>
              </w:rPr>
            </w:pPr>
          </w:p>
          <w:p w14:paraId="38ABD444">
            <w:pPr>
              <w:spacing w:line="255" w:lineRule="auto"/>
              <w:rPr>
                <w:rFonts w:ascii="Arial"/>
                <w:sz w:val="21"/>
              </w:rPr>
            </w:pPr>
          </w:p>
          <w:p w14:paraId="2B4B50F6">
            <w:pPr>
              <w:spacing w:line="255" w:lineRule="auto"/>
              <w:rPr>
                <w:rFonts w:ascii="Arial"/>
                <w:sz w:val="21"/>
              </w:rPr>
            </w:pPr>
          </w:p>
          <w:p w14:paraId="36E44357">
            <w:pPr>
              <w:spacing w:line="256" w:lineRule="auto"/>
              <w:rPr>
                <w:rFonts w:ascii="Arial"/>
                <w:sz w:val="21"/>
              </w:rPr>
            </w:pPr>
          </w:p>
          <w:p w14:paraId="471D9F84">
            <w:pPr>
              <w:pStyle w:val="6"/>
              <w:spacing w:before="68" w:line="219" w:lineRule="auto"/>
              <w:ind w:left="262"/>
            </w:pPr>
            <w:r>
              <w:t>云陶格斯13848290733</w:t>
            </w:r>
          </w:p>
        </w:tc>
        <w:tc>
          <w:tcPr>
            <w:tcW w:w="2708" w:type="dxa"/>
            <w:vAlign w:val="top"/>
          </w:tcPr>
          <w:p w14:paraId="1C977849">
            <w:pPr>
              <w:spacing w:line="255" w:lineRule="auto"/>
              <w:rPr>
                <w:rFonts w:ascii="Arial"/>
                <w:sz w:val="21"/>
              </w:rPr>
            </w:pPr>
          </w:p>
          <w:p w14:paraId="1582A25B">
            <w:pPr>
              <w:spacing w:line="255" w:lineRule="auto"/>
              <w:rPr>
                <w:rFonts w:ascii="Arial"/>
                <w:sz w:val="21"/>
              </w:rPr>
            </w:pPr>
          </w:p>
          <w:p w14:paraId="0BF93FC8">
            <w:pPr>
              <w:spacing w:line="255" w:lineRule="auto"/>
              <w:rPr>
                <w:rFonts w:ascii="Arial"/>
                <w:sz w:val="21"/>
              </w:rPr>
            </w:pPr>
          </w:p>
          <w:p w14:paraId="5A855CD2">
            <w:pPr>
              <w:spacing w:line="255" w:lineRule="auto"/>
              <w:rPr>
                <w:rFonts w:ascii="Arial"/>
                <w:sz w:val="21"/>
              </w:rPr>
            </w:pPr>
          </w:p>
          <w:p w14:paraId="37321250">
            <w:pPr>
              <w:spacing w:line="256" w:lineRule="auto"/>
              <w:rPr>
                <w:rFonts w:ascii="Arial"/>
                <w:sz w:val="21"/>
              </w:rPr>
            </w:pPr>
          </w:p>
          <w:p w14:paraId="02F80CE5">
            <w:pPr>
              <w:pStyle w:val="6"/>
              <w:spacing w:before="68" w:line="219" w:lineRule="auto"/>
              <w:ind w:left="1034"/>
            </w:pPr>
            <w:r>
              <w:rPr>
                <w:spacing w:val="3"/>
              </w:rPr>
              <w:t>副局长</w:t>
            </w:r>
          </w:p>
        </w:tc>
        <w:tc>
          <w:tcPr>
            <w:tcW w:w="4312" w:type="dxa"/>
            <w:vMerge w:val="continue"/>
            <w:tcBorders>
              <w:top w:val="nil"/>
            </w:tcBorders>
            <w:vAlign w:val="top"/>
          </w:tcPr>
          <w:p w14:paraId="59B3DECB">
            <w:pPr>
              <w:rPr>
                <w:rFonts w:ascii="Arial"/>
                <w:sz w:val="21"/>
              </w:rPr>
            </w:pPr>
          </w:p>
        </w:tc>
      </w:tr>
    </w:tbl>
    <w:p w14:paraId="0880AC8E">
      <w:pPr>
        <w:rPr>
          <w:rFonts w:ascii="Arial"/>
          <w:sz w:val="21"/>
        </w:rPr>
      </w:pPr>
    </w:p>
    <w:p w14:paraId="2027B143">
      <w:pPr>
        <w:rPr>
          <w:rFonts w:ascii="Arial" w:hAnsi="Arial" w:eastAsia="Arial" w:cs="Arial"/>
          <w:sz w:val="21"/>
          <w:szCs w:val="21"/>
        </w:rPr>
        <w:sectPr>
          <w:footerReference r:id="rId22" w:type="default"/>
          <w:pgSz w:w="16850" w:h="11910"/>
          <w:pgMar w:top="1012" w:right="1665" w:bottom="1455" w:left="1234" w:header="0" w:footer="1293" w:gutter="0"/>
          <w:cols w:space="720" w:num="1"/>
        </w:sectPr>
      </w:pPr>
    </w:p>
    <w:p w14:paraId="717775CC">
      <w:pPr>
        <w:spacing w:before="62" w:line="221" w:lineRule="auto"/>
        <w:ind w:left="4"/>
        <w:outlineLvl w:val="0"/>
        <w:rPr>
          <w:rFonts w:ascii="宋体" w:hAnsi="宋体" w:eastAsia="宋体" w:cs="宋体"/>
          <w:sz w:val="31"/>
          <w:szCs w:val="31"/>
        </w:rPr>
      </w:pPr>
      <w:bookmarkStart w:id="35" w:name="bookmark78"/>
      <w:bookmarkEnd w:id="35"/>
      <w:bookmarkStart w:id="36" w:name="bookmark26"/>
      <w:bookmarkEnd w:id="36"/>
      <w:r>
        <w:rPr>
          <w:rFonts w:ascii="宋体" w:hAnsi="宋体" w:eastAsia="宋体" w:cs="宋体"/>
          <w:b/>
          <w:bCs/>
          <w:color w:val="607070"/>
          <w:spacing w:val="22"/>
          <w:sz w:val="31"/>
          <w:szCs w:val="31"/>
        </w:rPr>
        <w:t>4应急响应</w:t>
      </w:r>
    </w:p>
    <w:p w14:paraId="4A61FEE0">
      <w:pPr>
        <w:spacing w:before="274" w:line="220" w:lineRule="auto"/>
        <w:outlineLvl w:val="1"/>
        <w:rPr>
          <w:rFonts w:ascii="宋体" w:hAnsi="宋体" w:eastAsia="宋体" w:cs="宋体"/>
          <w:sz w:val="28"/>
          <w:szCs w:val="28"/>
        </w:rPr>
      </w:pPr>
      <w:bookmarkStart w:id="37" w:name="bookmark27"/>
      <w:bookmarkEnd w:id="37"/>
      <w:r>
        <w:rPr>
          <w:rFonts w:ascii="宋体" w:hAnsi="宋体" w:eastAsia="宋体" w:cs="宋体"/>
          <w:color w:val="506060"/>
          <w:spacing w:val="2"/>
          <w:sz w:val="28"/>
          <w:szCs w:val="28"/>
        </w:rPr>
        <w:t>4.</w:t>
      </w:r>
      <w:r>
        <w:rPr>
          <w:rFonts w:ascii="宋体" w:hAnsi="宋体" w:eastAsia="宋体" w:cs="宋体"/>
          <w:b/>
          <w:bCs/>
          <w:color w:val="506060"/>
          <w:spacing w:val="2"/>
          <w:sz w:val="28"/>
          <w:szCs w:val="28"/>
        </w:rPr>
        <w:t>1预防与预警</w:t>
      </w:r>
    </w:p>
    <w:p w14:paraId="30058371">
      <w:pPr>
        <w:spacing w:before="215" w:line="219" w:lineRule="auto"/>
        <w:outlineLvl w:val="2"/>
        <w:rPr>
          <w:rFonts w:ascii="宋体" w:hAnsi="宋体" w:eastAsia="宋体" w:cs="宋体"/>
          <w:sz w:val="26"/>
          <w:szCs w:val="26"/>
        </w:rPr>
      </w:pPr>
      <w:bookmarkStart w:id="38" w:name="bookmark28"/>
      <w:bookmarkEnd w:id="38"/>
      <w:r>
        <w:rPr>
          <w:rFonts w:ascii="宋体" w:hAnsi="宋体" w:eastAsia="宋体" w:cs="宋体"/>
          <w:color w:val="506060"/>
          <w:spacing w:val="-16"/>
          <w:sz w:val="26"/>
          <w:szCs w:val="26"/>
        </w:rPr>
        <w:t>4.1.</w:t>
      </w:r>
      <w:r>
        <w:rPr>
          <w:rFonts w:ascii="宋体" w:hAnsi="宋体" w:eastAsia="宋体" w:cs="宋体"/>
          <w:b/>
          <w:bCs/>
          <w:color w:val="506060"/>
          <w:spacing w:val="-16"/>
          <w:sz w:val="26"/>
          <w:szCs w:val="26"/>
        </w:rPr>
        <w:t>1主要部门预防工作职责分工</w:t>
      </w:r>
    </w:p>
    <w:p w14:paraId="1E30D001">
      <w:pPr>
        <w:spacing w:before="183" w:line="354" w:lineRule="auto"/>
        <w:ind w:right="117" w:firstLine="499"/>
        <w:rPr>
          <w:rFonts w:ascii="宋体" w:hAnsi="宋体" w:eastAsia="宋体" w:cs="宋体"/>
          <w:sz w:val="24"/>
          <w:szCs w:val="24"/>
        </w:rPr>
      </w:pPr>
      <w:r>
        <w:rPr>
          <w:rFonts w:ascii="宋体" w:hAnsi="宋体" w:eastAsia="宋体" w:cs="宋体"/>
          <w:color w:val="506060"/>
          <w:spacing w:val="-2"/>
          <w:sz w:val="24"/>
          <w:szCs w:val="24"/>
        </w:rPr>
        <w:t>包头市石拐区集中式饮用水水源地应</w:t>
      </w:r>
      <w:r>
        <w:rPr>
          <w:rFonts w:ascii="宋体" w:hAnsi="宋体" w:eastAsia="宋体" w:cs="宋体"/>
          <w:color w:val="607070"/>
          <w:spacing w:val="-2"/>
          <w:sz w:val="24"/>
          <w:szCs w:val="24"/>
        </w:rPr>
        <w:t>急领导小组会同有关成员单位，应注意</w:t>
      </w:r>
      <w:r>
        <w:rPr>
          <w:rFonts w:ascii="宋体" w:hAnsi="宋体" w:eastAsia="宋体" w:cs="宋体"/>
          <w:color w:val="607070"/>
          <w:spacing w:val="10"/>
          <w:sz w:val="24"/>
          <w:szCs w:val="24"/>
        </w:rPr>
        <w:t xml:space="preserve"> </w:t>
      </w:r>
      <w:r>
        <w:rPr>
          <w:rFonts w:ascii="宋体" w:hAnsi="宋体" w:eastAsia="宋体" w:cs="宋体"/>
          <w:color w:val="506060"/>
          <w:spacing w:val="1"/>
          <w:sz w:val="24"/>
          <w:szCs w:val="24"/>
        </w:rPr>
        <w:t>收集与上报发生在辖区境外和辖区内有</w:t>
      </w:r>
      <w:r>
        <w:rPr>
          <w:rFonts w:ascii="宋体" w:hAnsi="宋体" w:eastAsia="宋体" w:cs="宋体"/>
          <w:color w:val="607070"/>
          <w:spacing w:val="1"/>
          <w:sz w:val="24"/>
          <w:szCs w:val="24"/>
        </w:rPr>
        <w:t>可能</w:t>
      </w:r>
      <w:r>
        <w:rPr>
          <w:rFonts w:ascii="宋体" w:hAnsi="宋体" w:eastAsia="宋体" w:cs="宋体"/>
          <w:color w:val="607070"/>
          <w:sz w:val="24"/>
          <w:szCs w:val="24"/>
        </w:rPr>
        <w:t>对我区集中式饮用水源地造成环境</w:t>
      </w:r>
    </w:p>
    <w:p w14:paraId="341DF6CE">
      <w:pPr>
        <w:spacing w:line="219" w:lineRule="auto"/>
        <w:rPr>
          <w:rFonts w:ascii="宋体" w:hAnsi="宋体" w:eastAsia="宋体" w:cs="宋体"/>
          <w:sz w:val="24"/>
          <w:szCs w:val="24"/>
        </w:rPr>
      </w:pPr>
      <w:r>
        <w:rPr>
          <w:rFonts w:ascii="宋体" w:hAnsi="宋体" w:eastAsia="宋体" w:cs="宋体"/>
          <w:color w:val="307060"/>
          <w:spacing w:val="-2"/>
          <w:sz w:val="24"/>
          <w:szCs w:val="24"/>
        </w:rPr>
        <w:t>影响的事件信息；区应急领导小组有关成员单位实行24小时值班制度，指定联络</w:t>
      </w:r>
    </w:p>
    <w:p w14:paraId="71F08912">
      <w:pPr>
        <w:spacing w:before="175" w:line="356" w:lineRule="auto"/>
        <w:ind w:right="153"/>
        <w:jc w:val="both"/>
        <w:rPr>
          <w:rFonts w:ascii="宋体" w:hAnsi="宋体" w:eastAsia="宋体" w:cs="宋体"/>
          <w:sz w:val="24"/>
          <w:szCs w:val="24"/>
        </w:rPr>
      </w:pPr>
      <w:r>
        <w:rPr>
          <w:rFonts w:ascii="宋体" w:hAnsi="宋体" w:eastAsia="宋体" w:cs="宋体"/>
          <w:color w:val="506060"/>
          <w:spacing w:val="-2"/>
          <w:sz w:val="24"/>
          <w:szCs w:val="24"/>
        </w:rPr>
        <w:t>员、值班电话，报包头市生态环境局石拐区分局备案并向社会公布。主要负责人</w:t>
      </w:r>
      <w:r>
        <w:rPr>
          <w:rFonts w:ascii="宋体" w:hAnsi="宋体" w:eastAsia="宋体" w:cs="宋体"/>
          <w:color w:val="506060"/>
          <w:sz w:val="24"/>
          <w:szCs w:val="24"/>
        </w:rPr>
        <w:t xml:space="preserve"> </w:t>
      </w:r>
      <w:r>
        <w:rPr>
          <w:rFonts w:ascii="宋体" w:hAnsi="宋体" w:eastAsia="宋体" w:cs="宋体"/>
          <w:color w:val="506060"/>
          <w:spacing w:val="-2"/>
          <w:sz w:val="24"/>
          <w:szCs w:val="24"/>
        </w:rPr>
        <w:t>和管理人员的手机要24小时开机，保证能随时联系。相关部门依据以下分工做好</w:t>
      </w:r>
      <w:r>
        <w:rPr>
          <w:rFonts w:ascii="宋体" w:hAnsi="宋体" w:eastAsia="宋体" w:cs="宋体"/>
          <w:color w:val="506060"/>
          <w:sz w:val="24"/>
          <w:szCs w:val="24"/>
        </w:rPr>
        <w:t xml:space="preserve"> </w:t>
      </w:r>
      <w:r>
        <w:rPr>
          <w:rFonts w:ascii="宋体" w:hAnsi="宋体" w:eastAsia="宋体" w:cs="宋体"/>
          <w:color w:val="506060"/>
          <w:spacing w:val="-3"/>
          <w:sz w:val="24"/>
          <w:szCs w:val="24"/>
        </w:rPr>
        <w:t>日常的环境风险排查工作和及时整治。</w:t>
      </w:r>
    </w:p>
    <w:p w14:paraId="1A6BADF2">
      <w:pPr>
        <w:spacing w:before="9" w:line="219" w:lineRule="auto"/>
        <w:ind w:left="503"/>
        <w:rPr>
          <w:rFonts w:ascii="宋体" w:hAnsi="宋体" w:eastAsia="宋体" w:cs="宋体"/>
          <w:sz w:val="26"/>
          <w:szCs w:val="26"/>
        </w:rPr>
      </w:pPr>
      <w:r>
        <w:rPr>
          <w:rFonts w:ascii="宋体" w:hAnsi="宋体" w:eastAsia="宋体" w:cs="宋体"/>
          <w:b/>
          <w:bCs/>
          <w:color w:val="506060"/>
          <w:spacing w:val="-22"/>
          <w:sz w:val="26"/>
          <w:szCs w:val="26"/>
        </w:rPr>
        <w:t>各水源地相关管理单位：</w:t>
      </w:r>
    </w:p>
    <w:p w14:paraId="65B57928">
      <w:pPr>
        <w:spacing w:before="193" w:line="287" w:lineRule="auto"/>
        <w:ind w:right="147" w:firstLine="630"/>
        <w:rPr>
          <w:rFonts w:ascii="宋体" w:hAnsi="宋体" w:eastAsia="宋体" w:cs="宋体"/>
          <w:sz w:val="24"/>
          <w:szCs w:val="24"/>
        </w:rPr>
      </w:pPr>
      <w:r>
        <w:rPr>
          <w:rFonts w:ascii="宋体" w:hAnsi="宋体" w:eastAsia="宋体" w:cs="宋体"/>
          <w:color w:val="506060"/>
          <w:spacing w:val="4"/>
          <w:sz w:val="24"/>
          <w:szCs w:val="24"/>
        </w:rPr>
        <w:t>(1)加强集中式饮用水源地内道路围栏及围墙的维护，设置路面径流引导</w:t>
      </w:r>
      <w:r>
        <w:rPr>
          <w:rFonts w:ascii="宋体" w:hAnsi="宋体" w:eastAsia="宋体" w:cs="宋体"/>
          <w:color w:val="506060"/>
          <w:spacing w:val="12"/>
          <w:sz w:val="24"/>
          <w:szCs w:val="24"/>
        </w:rPr>
        <w:t xml:space="preserve"> </w:t>
      </w:r>
      <w:r>
        <w:rPr>
          <w:rFonts w:ascii="宋体" w:hAnsi="宋体" w:eastAsia="宋体" w:cs="宋体"/>
          <w:color w:val="506060"/>
          <w:spacing w:val="-3"/>
          <w:sz w:val="24"/>
          <w:szCs w:val="24"/>
        </w:rPr>
        <w:t>设施，避免污水直接排入水源内。</w:t>
      </w:r>
    </w:p>
    <w:p w14:paraId="66F3251B">
      <w:pPr>
        <w:spacing w:before="184" w:line="219" w:lineRule="auto"/>
        <w:ind w:left="630"/>
        <w:rPr>
          <w:rFonts w:ascii="宋体" w:hAnsi="宋体" w:eastAsia="宋体" w:cs="宋体"/>
          <w:sz w:val="24"/>
          <w:szCs w:val="24"/>
        </w:rPr>
      </w:pPr>
      <w:r>
        <w:rPr>
          <w:rFonts w:ascii="宋体" w:hAnsi="宋体" w:eastAsia="宋体" w:cs="宋体"/>
          <w:color w:val="506060"/>
          <w:sz w:val="24"/>
          <w:szCs w:val="24"/>
        </w:rPr>
        <w:t xml:space="preserve">(2)严格控制农药、化肥等非点源污染， </w:t>
      </w:r>
      <w:r>
        <w:rPr>
          <w:rFonts w:ascii="宋体" w:hAnsi="宋体" w:eastAsia="宋体" w:cs="宋体"/>
          <w:color w:val="607070"/>
          <w:sz w:val="24"/>
          <w:szCs w:val="24"/>
        </w:rPr>
        <w:t>并逐步退</w:t>
      </w:r>
      <w:r>
        <w:rPr>
          <w:rFonts w:ascii="宋体" w:hAnsi="宋体" w:eastAsia="宋体" w:cs="宋体"/>
          <w:color w:val="607070"/>
          <w:spacing w:val="-1"/>
          <w:sz w:val="24"/>
          <w:szCs w:val="24"/>
        </w:rPr>
        <w:t>出。</w:t>
      </w:r>
    </w:p>
    <w:p w14:paraId="30DFC95E">
      <w:pPr>
        <w:spacing w:before="177" w:line="294" w:lineRule="auto"/>
        <w:ind w:right="144" w:firstLine="630"/>
        <w:rPr>
          <w:rFonts w:ascii="宋体" w:hAnsi="宋体" w:eastAsia="宋体" w:cs="宋体"/>
          <w:sz w:val="24"/>
          <w:szCs w:val="24"/>
        </w:rPr>
      </w:pPr>
      <w:r>
        <w:rPr>
          <w:rFonts w:ascii="宋体" w:hAnsi="宋体" w:eastAsia="宋体" w:cs="宋体"/>
          <w:color w:val="506060"/>
          <w:spacing w:val="4"/>
          <w:sz w:val="24"/>
          <w:szCs w:val="24"/>
        </w:rPr>
        <w:t>(3)加大对饮用水源的检查监测力度，有能力的应设置水质日常自动监测</w:t>
      </w:r>
      <w:r>
        <w:rPr>
          <w:rFonts w:ascii="宋体" w:hAnsi="宋体" w:eastAsia="宋体" w:cs="宋体"/>
          <w:color w:val="506060"/>
          <w:spacing w:val="16"/>
          <w:sz w:val="24"/>
          <w:szCs w:val="24"/>
        </w:rPr>
        <w:t xml:space="preserve"> </w:t>
      </w:r>
      <w:r>
        <w:rPr>
          <w:rFonts w:ascii="宋体" w:hAnsi="宋体" w:eastAsia="宋体" w:cs="宋体"/>
          <w:color w:val="506060"/>
          <w:spacing w:val="-3"/>
          <w:sz w:val="24"/>
          <w:szCs w:val="24"/>
        </w:rPr>
        <w:t>仪器，或与现环保监测部门协作。</w:t>
      </w:r>
    </w:p>
    <w:p w14:paraId="5894FD1D">
      <w:pPr>
        <w:spacing w:before="184" w:line="283" w:lineRule="auto"/>
        <w:ind w:right="193" w:firstLine="630"/>
        <w:rPr>
          <w:rFonts w:ascii="宋体" w:hAnsi="宋体" w:eastAsia="宋体" w:cs="宋体"/>
          <w:sz w:val="24"/>
          <w:szCs w:val="24"/>
        </w:rPr>
      </w:pPr>
      <w:r>
        <w:rPr>
          <w:rFonts w:ascii="宋体" w:hAnsi="宋体" w:eastAsia="宋体" w:cs="宋体"/>
          <w:color w:val="506060"/>
          <w:spacing w:val="3"/>
          <w:sz w:val="24"/>
          <w:szCs w:val="24"/>
        </w:rPr>
        <w:t>(4)各相关管理单位及相关抢险单位应常备突发性水污染事件抢险物资，</w:t>
      </w:r>
      <w:r>
        <w:rPr>
          <w:rFonts w:ascii="宋体" w:hAnsi="宋体" w:eastAsia="宋体" w:cs="宋体"/>
          <w:color w:val="506060"/>
          <w:sz w:val="24"/>
          <w:szCs w:val="24"/>
        </w:rPr>
        <w:t xml:space="preserve"> </w:t>
      </w:r>
      <w:r>
        <w:rPr>
          <w:rFonts w:ascii="宋体" w:hAnsi="宋体" w:eastAsia="宋体" w:cs="宋体"/>
          <w:color w:val="506060"/>
          <w:spacing w:val="-4"/>
          <w:sz w:val="24"/>
          <w:szCs w:val="24"/>
        </w:rPr>
        <w:t>定期对消耗的应急物资进行补充。</w:t>
      </w:r>
    </w:p>
    <w:p w14:paraId="023AE849">
      <w:pPr>
        <w:spacing w:before="173" w:line="219" w:lineRule="auto"/>
        <w:ind w:left="503"/>
        <w:rPr>
          <w:rFonts w:ascii="宋体" w:hAnsi="宋体" w:eastAsia="宋体" w:cs="宋体"/>
          <w:sz w:val="26"/>
          <w:szCs w:val="26"/>
        </w:rPr>
      </w:pPr>
      <w:r>
        <w:rPr>
          <w:rFonts w:ascii="宋体" w:hAnsi="宋体" w:eastAsia="宋体" w:cs="宋体"/>
          <w:b/>
          <w:bCs/>
          <w:color w:val="506060"/>
          <w:spacing w:val="-24"/>
          <w:sz w:val="26"/>
          <w:szCs w:val="26"/>
        </w:rPr>
        <w:t>环保部门：</w:t>
      </w:r>
    </w:p>
    <w:p w14:paraId="1C5DCFAD">
      <w:pPr>
        <w:spacing w:before="192" w:line="321" w:lineRule="auto"/>
        <w:ind w:right="146" w:firstLine="499"/>
        <w:rPr>
          <w:rFonts w:ascii="宋体" w:hAnsi="宋体" w:eastAsia="宋体" w:cs="宋体"/>
          <w:sz w:val="24"/>
          <w:szCs w:val="24"/>
        </w:rPr>
      </w:pPr>
      <w:r>
        <w:rPr>
          <w:rFonts w:ascii="宋体" w:hAnsi="宋体" w:eastAsia="宋体" w:cs="宋体"/>
          <w:color w:val="506060"/>
          <w:spacing w:val="1"/>
          <w:sz w:val="24"/>
          <w:szCs w:val="24"/>
        </w:rPr>
        <w:t>①包头市生态环境局石拐区分局环境监察大队定期开展集中式饮用水源地</w:t>
      </w:r>
      <w:r>
        <w:rPr>
          <w:rFonts w:ascii="宋体" w:hAnsi="宋体" w:eastAsia="宋体" w:cs="宋体"/>
          <w:color w:val="506060"/>
          <w:spacing w:val="3"/>
          <w:sz w:val="24"/>
          <w:szCs w:val="24"/>
        </w:rPr>
        <w:t xml:space="preserve">  </w:t>
      </w:r>
      <w:r>
        <w:rPr>
          <w:rFonts w:ascii="宋体" w:hAnsi="宋体" w:eastAsia="宋体" w:cs="宋体"/>
          <w:color w:val="506060"/>
          <w:spacing w:val="-2"/>
          <w:sz w:val="24"/>
          <w:szCs w:val="24"/>
        </w:rPr>
        <w:t>内环境风险源排查，建立并及时更新环境风险源信息数据库，加强对可能发生突</w:t>
      </w:r>
      <w:r>
        <w:rPr>
          <w:rFonts w:ascii="宋体" w:hAnsi="宋体" w:eastAsia="宋体" w:cs="宋体"/>
          <w:color w:val="506060"/>
          <w:spacing w:val="5"/>
          <w:sz w:val="24"/>
          <w:szCs w:val="24"/>
        </w:rPr>
        <w:t xml:space="preserve"> </w:t>
      </w:r>
      <w:r>
        <w:rPr>
          <w:rFonts w:ascii="宋体" w:hAnsi="宋体" w:eastAsia="宋体" w:cs="宋体"/>
          <w:color w:val="506060"/>
          <w:spacing w:val="-2"/>
          <w:sz w:val="24"/>
          <w:szCs w:val="24"/>
        </w:rPr>
        <w:t>发环境事件的生产经营单位的监管，督促其健全风险防控措施、消除所造成的污</w:t>
      </w:r>
      <w:r>
        <w:rPr>
          <w:rFonts w:ascii="宋体" w:hAnsi="宋体" w:eastAsia="宋体" w:cs="宋体"/>
          <w:color w:val="506060"/>
          <w:spacing w:val="1"/>
          <w:sz w:val="24"/>
          <w:szCs w:val="24"/>
        </w:rPr>
        <w:t xml:space="preserve"> </w:t>
      </w:r>
      <w:r>
        <w:rPr>
          <w:rFonts w:ascii="宋体" w:hAnsi="宋体" w:eastAsia="宋体" w:cs="宋体"/>
          <w:color w:val="506060"/>
          <w:spacing w:val="-7"/>
          <w:sz w:val="24"/>
          <w:szCs w:val="24"/>
        </w:rPr>
        <w:t>染；</w:t>
      </w:r>
    </w:p>
    <w:p w14:paraId="59D03D7D">
      <w:pPr>
        <w:spacing w:before="201" w:line="291" w:lineRule="auto"/>
        <w:ind w:right="152" w:firstLine="499"/>
        <w:rPr>
          <w:rFonts w:ascii="宋体" w:hAnsi="宋体" w:eastAsia="宋体" w:cs="宋体"/>
          <w:sz w:val="24"/>
          <w:szCs w:val="24"/>
        </w:rPr>
      </w:pPr>
      <w:r>
        <w:rPr>
          <w:rFonts w:ascii="宋体" w:hAnsi="宋体" w:eastAsia="宋体" w:cs="宋体"/>
          <w:color w:val="506060"/>
          <w:spacing w:val="1"/>
          <w:sz w:val="24"/>
          <w:szCs w:val="24"/>
        </w:rPr>
        <w:t>②包头市生态环境局石拐区分局环境监测站每季度组织1次对饮用</w:t>
      </w:r>
      <w:r>
        <w:rPr>
          <w:rFonts w:ascii="宋体" w:hAnsi="宋体" w:eastAsia="宋体" w:cs="宋体"/>
          <w:color w:val="506060"/>
          <w:sz w:val="24"/>
          <w:szCs w:val="24"/>
        </w:rPr>
        <w:t xml:space="preserve">水源的全 </w:t>
      </w:r>
      <w:r>
        <w:rPr>
          <w:rFonts w:ascii="宋体" w:hAnsi="宋体" w:eastAsia="宋体" w:cs="宋体"/>
          <w:color w:val="506060"/>
          <w:spacing w:val="-2"/>
          <w:sz w:val="24"/>
          <w:szCs w:val="24"/>
        </w:rPr>
        <w:t>面监测，随时掌握水质情况。</w:t>
      </w:r>
    </w:p>
    <w:p w14:paraId="7432A1B9">
      <w:pPr>
        <w:spacing w:before="153" w:line="219" w:lineRule="auto"/>
        <w:ind w:left="503"/>
        <w:rPr>
          <w:rFonts w:ascii="宋体" w:hAnsi="宋体" w:eastAsia="宋体" w:cs="宋体"/>
          <w:sz w:val="26"/>
          <w:szCs w:val="26"/>
        </w:rPr>
      </w:pPr>
      <w:r>
        <w:rPr>
          <w:rFonts w:ascii="宋体" w:hAnsi="宋体" w:eastAsia="宋体" w:cs="宋体"/>
          <w:b/>
          <w:bCs/>
          <w:color w:val="506060"/>
          <w:spacing w:val="-25"/>
          <w:sz w:val="26"/>
          <w:szCs w:val="26"/>
        </w:rPr>
        <w:t>区应急部门：</w:t>
      </w:r>
    </w:p>
    <w:p w14:paraId="61BD98B6">
      <w:pPr>
        <w:spacing w:before="191" w:line="217" w:lineRule="auto"/>
        <w:ind w:left="499"/>
        <w:rPr>
          <w:rFonts w:ascii="宋体" w:hAnsi="宋体" w:eastAsia="宋体" w:cs="宋体"/>
          <w:sz w:val="24"/>
          <w:szCs w:val="24"/>
        </w:rPr>
      </w:pPr>
      <w:r>
        <w:rPr>
          <w:rFonts w:ascii="宋体" w:hAnsi="宋体" w:eastAsia="宋体" w:cs="宋体"/>
          <w:color w:val="607070"/>
          <w:spacing w:val="-2"/>
          <w:sz w:val="24"/>
          <w:szCs w:val="24"/>
        </w:rPr>
        <w:t>①按照各部门需求，做好应急物资的储备与管理；</w:t>
      </w:r>
    </w:p>
    <w:p w14:paraId="1CE3E2E7">
      <w:pPr>
        <w:spacing w:before="197" w:line="281" w:lineRule="auto"/>
        <w:ind w:right="125" w:firstLine="499"/>
        <w:rPr>
          <w:rFonts w:ascii="宋体" w:hAnsi="宋体" w:eastAsia="宋体" w:cs="宋体"/>
          <w:sz w:val="24"/>
          <w:szCs w:val="24"/>
        </w:rPr>
      </w:pPr>
      <w:r>
        <w:rPr>
          <w:rFonts w:ascii="宋体" w:hAnsi="宋体" w:eastAsia="宋体" w:cs="宋体"/>
          <w:color w:val="506060"/>
          <w:spacing w:val="-2"/>
          <w:sz w:val="24"/>
          <w:szCs w:val="24"/>
        </w:rPr>
        <w:t>②督促各应急物资储放单位定期清理、更换过期物资，做好应急物资的管理</w:t>
      </w:r>
      <w:r>
        <w:rPr>
          <w:rFonts w:ascii="宋体" w:hAnsi="宋体" w:eastAsia="宋体" w:cs="宋体"/>
          <w:color w:val="506060"/>
          <w:spacing w:val="3"/>
          <w:sz w:val="24"/>
          <w:szCs w:val="24"/>
        </w:rPr>
        <w:t xml:space="preserve"> </w:t>
      </w:r>
      <w:r>
        <w:rPr>
          <w:rFonts w:ascii="宋体" w:hAnsi="宋体" w:eastAsia="宋体" w:cs="宋体"/>
          <w:color w:val="506060"/>
          <w:spacing w:val="-10"/>
          <w:sz w:val="24"/>
          <w:szCs w:val="24"/>
        </w:rPr>
        <w:t>与维护。</w:t>
      </w:r>
    </w:p>
    <w:p w14:paraId="4477C994">
      <w:pPr>
        <w:spacing w:before="230" w:line="217" w:lineRule="auto"/>
        <w:ind w:left="499"/>
        <w:rPr>
          <w:rFonts w:ascii="宋体" w:hAnsi="宋体" w:eastAsia="宋体" w:cs="宋体"/>
          <w:sz w:val="24"/>
          <w:szCs w:val="24"/>
        </w:rPr>
      </w:pPr>
      <w:r>
        <w:rPr>
          <w:rFonts w:ascii="宋体" w:hAnsi="宋体" w:eastAsia="宋体" w:cs="宋体"/>
          <w:color w:val="506060"/>
          <w:sz w:val="24"/>
          <w:szCs w:val="24"/>
        </w:rPr>
        <w:t>③加强危险化学品监督管理，</w:t>
      </w:r>
      <w:r>
        <w:rPr>
          <w:rFonts w:ascii="宋体" w:hAnsi="宋体" w:eastAsia="宋体" w:cs="宋体"/>
          <w:color w:val="506060"/>
          <w:spacing w:val="-42"/>
          <w:sz w:val="24"/>
          <w:szCs w:val="24"/>
        </w:rPr>
        <w:t xml:space="preserve"> </w:t>
      </w:r>
      <w:r>
        <w:rPr>
          <w:rFonts w:ascii="宋体" w:hAnsi="宋体" w:eastAsia="宋体" w:cs="宋体"/>
          <w:color w:val="506060"/>
          <w:sz w:val="24"/>
          <w:szCs w:val="24"/>
          <w:u w:val="single" w:color="auto"/>
        </w:rPr>
        <w:t>建立</w:t>
      </w:r>
      <w:r>
        <w:rPr>
          <w:rFonts w:ascii="宋体" w:hAnsi="宋体" w:eastAsia="宋体" w:cs="宋体"/>
          <w:color w:val="506060"/>
          <w:sz w:val="24"/>
          <w:szCs w:val="24"/>
        </w:rPr>
        <w:t>集中式饮用水源地内危险化学品生产、</w:t>
      </w:r>
    </w:p>
    <w:p w14:paraId="68CBCF53">
      <w:pPr>
        <w:spacing w:line="217" w:lineRule="auto"/>
        <w:rPr>
          <w:rFonts w:ascii="宋体" w:hAnsi="宋体" w:eastAsia="宋体" w:cs="宋体"/>
          <w:sz w:val="24"/>
          <w:szCs w:val="24"/>
        </w:rPr>
        <w:sectPr>
          <w:footerReference r:id="rId23" w:type="default"/>
          <w:pgSz w:w="11910" w:h="16850"/>
          <w:pgMar w:top="1399" w:right="1786" w:bottom="400" w:left="1640" w:header="0" w:footer="0" w:gutter="0"/>
          <w:cols w:space="720" w:num="1"/>
        </w:sectPr>
      </w:pPr>
    </w:p>
    <w:p w14:paraId="66FF3685">
      <w:pPr>
        <w:spacing w:before="187" w:line="219" w:lineRule="auto"/>
        <w:rPr>
          <w:rFonts w:ascii="宋体" w:hAnsi="宋体" w:eastAsia="宋体" w:cs="宋体"/>
          <w:sz w:val="24"/>
          <w:szCs w:val="24"/>
        </w:rPr>
      </w:pPr>
      <w:r>
        <w:rPr>
          <w:rFonts w:ascii="宋体" w:hAnsi="宋体" w:eastAsia="宋体" w:cs="宋体"/>
          <w:spacing w:val="-2"/>
          <w:sz w:val="24"/>
          <w:szCs w:val="24"/>
        </w:rPr>
        <w:t>经营单位危险化学品的有关信息数据库。</w:t>
      </w:r>
    </w:p>
    <w:p w14:paraId="4A0E0D2F">
      <w:pPr>
        <w:spacing w:before="160" w:line="219" w:lineRule="auto"/>
        <w:ind w:left="483"/>
        <w:rPr>
          <w:rFonts w:ascii="宋体" w:hAnsi="宋体" w:eastAsia="宋体" w:cs="宋体"/>
          <w:sz w:val="26"/>
          <w:szCs w:val="26"/>
        </w:rPr>
      </w:pPr>
      <w:bookmarkStart w:id="39" w:name="bookmark79"/>
      <w:bookmarkEnd w:id="39"/>
      <w:r>
        <w:rPr>
          <w:rFonts w:ascii="宋体" w:hAnsi="宋体" w:eastAsia="宋体" w:cs="宋体"/>
          <w:b/>
          <w:bCs/>
          <w:spacing w:val="-22"/>
          <w:sz w:val="26"/>
          <w:szCs w:val="26"/>
        </w:rPr>
        <w:t>供水部门：</w:t>
      </w:r>
    </w:p>
    <w:p w14:paraId="33737092">
      <w:pPr>
        <w:spacing w:before="193" w:line="217" w:lineRule="auto"/>
        <w:ind w:left="479"/>
        <w:rPr>
          <w:rFonts w:ascii="宋体" w:hAnsi="宋体" w:eastAsia="宋体" w:cs="宋体"/>
          <w:sz w:val="24"/>
          <w:szCs w:val="24"/>
        </w:rPr>
      </w:pPr>
      <w:r>
        <w:rPr>
          <w:rFonts w:ascii="宋体" w:hAnsi="宋体" w:eastAsia="宋体" w:cs="宋体"/>
          <w:spacing w:val="-2"/>
          <w:sz w:val="24"/>
          <w:szCs w:val="24"/>
        </w:rPr>
        <w:t>①做好饮用水水源应急供水通道的建设与日常管护；</w:t>
      </w:r>
    </w:p>
    <w:p w14:paraId="7943AB4B">
      <w:pPr>
        <w:spacing w:before="177" w:line="287" w:lineRule="auto"/>
        <w:ind w:right="90" w:firstLine="479"/>
        <w:rPr>
          <w:rFonts w:ascii="宋体" w:hAnsi="宋体" w:eastAsia="宋体" w:cs="宋体"/>
          <w:sz w:val="24"/>
          <w:szCs w:val="24"/>
        </w:rPr>
      </w:pPr>
      <w:r>
        <w:rPr>
          <w:rFonts w:ascii="宋体" w:hAnsi="宋体" w:eastAsia="宋体" w:cs="宋体"/>
          <w:spacing w:val="-2"/>
          <w:sz w:val="24"/>
          <w:szCs w:val="24"/>
        </w:rPr>
        <w:t>②规划建设供水第二通道工程，当集中式饮用水源地发生污染事故无法正常</w:t>
      </w:r>
      <w:r>
        <w:rPr>
          <w:rFonts w:ascii="宋体" w:hAnsi="宋体" w:eastAsia="宋体" w:cs="宋体"/>
          <w:spacing w:val="18"/>
          <w:sz w:val="24"/>
          <w:szCs w:val="24"/>
        </w:rPr>
        <w:t xml:space="preserve"> </w:t>
      </w:r>
      <w:r>
        <w:rPr>
          <w:rFonts w:ascii="宋体" w:hAnsi="宋体" w:eastAsia="宋体" w:cs="宋体"/>
          <w:spacing w:val="-3"/>
          <w:sz w:val="24"/>
          <w:szCs w:val="24"/>
        </w:rPr>
        <w:t>取水时，利用第二通道供水进行过渡；</w:t>
      </w:r>
    </w:p>
    <w:p w14:paraId="24909892">
      <w:pPr>
        <w:pStyle w:val="2"/>
        <w:spacing w:before="184" w:line="283" w:lineRule="auto"/>
        <w:ind w:right="112" w:firstLine="479"/>
        <w:rPr>
          <w:sz w:val="26"/>
          <w:szCs w:val="26"/>
        </w:rPr>
      </w:pPr>
      <w:r>
        <w:rPr>
          <w:rFonts w:ascii="宋体" w:hAnsi="宋体" w:eastAsia="宋体" w:cs="宋体"/>
          <w:spacing w:val="-2"/>
          <w:sz w:val="24"/>
          <w:szCs w:val="24"/>
        </w:rPr>
        <w:t>③做好水源地出水的水质常规监测，发现问题时必须及时上报并详</w:t>
      </w:r>
      <w:r>
        <w:rPr>
          <w:rFonts w:ascii="宋体" w:hAnsi="宋体" w:eastAsia="宋体" w:cs="宋体"/>
          <w:spacing w:val="-3"/>
          <w:sz w:val="24"/>
          <w:szCs w:val="24"/>
        </w:rPr>
        <w:t>细做好记</w:t>
      </w:r>
      <w:r>
        <w:rPr>
          <w:rFonts w:ascii="宋体" w:hAnsi="宋体" w:eastAsia="宋体" w:cs="宋体"/>
          <w:sz w:val="24"/>
          <w:szCs w:val="24"/>
        </w:rPr>
        <w:t xml:space="preserve"> </w:t>
      </w:r>
      <w:r>
        <w:rPr>
          <w:spacing w:val="-14"/>
          <w:sz w:val="26"/>
          <w:szCs w:val="26"/>
        </w:rPr>
        <w:t>录。</w:t>
      </w:r>
    </w:p>
    <w:p w14:paraId="6EB17C90">
      <w:pPr>
        <w:spacing w:before="173" w:line="219" w:lineRule="auto"/>
        <w:ind w:left="483"/>
        <w:rPr>
          <w:rFonts w:ascii="宋体" w:hAnsi="宋体" w:eastAsia="宋体" w:cs="宋体"/>
          <w:sz w:val="24"/>
          <w:szCs w:val="24"/>
        </w:rPr>
      </w:pPr>
      <w:r>
        <w:rPr>
          <w:rFonts w:ascii="宋体" w:hAnsi="宋体" w:eastAsia="宋体" w:cs="宋体"/>
          <w:b/>
          <w:bCs/>
          <w:spacing w:val="-8"/>
          <w:sz w:val="24"/>
          <w:szCs w:val="24"/>
        </w:rPr>
        <w:t>交通运输部门：</w:t>
      </w:r>
    </w:p>
    <w:p w14:paraId="2A141E21">
      <w:pPr>
        <w:spacing w:before="177" w:line="357" w:lineRule="auto"/>
        <w:ind w:right="43" w:firstLine="479"/>
        <w:rPr>
          <w:rFonts w:ascii="宋体" w:hAnsi="宋体" w:eastAsia="宋体" w:cs="宋体"/>
          <w:sz w:val="24"/>
          <w:szCs w:val="24"/>
        </w:rPr>
      </w:pPr>
      <w:r>
        <w:rPr>
          <w:rFonts w:ascii="宋体" w:hAnsi="宋体" w:eastAsia="宋体" w:cs="宋体"/>
          <w:spacing w:val="-2"/>
          <w:sz w:val="24"/>
          <w:szCs w:val="24"/>
        </w:rPr>
        <w:t>设置监控设施，实施运输危险品车辆的登记和全程监控制度，</w:t>
      </w:r>
      <w:r>
        <w:rPr>
          <w:rFonts w:ascii="宋体" w:hAnsi="宋体" w:eastAsia="宋体" w:cs="宋体"/>
          <w:spacing w:val="-3"/>
          <w:sz w:val="24"/>
          <w:szCs w:val="24"/>
        </w:rPr>
        <w:t>在经过水源地</w:t>
      </w:r>
      <w:r>
        <w:rPr>
          <w:rFonts w:ascii="宋体" w:hAnsi="宋体" w:eastAsia="宋体" w:cs="宋体"/>
          <w:sz w:val="24"/>
          <w:szCs w:val="24"/>
        </w:rPr>
        <w:t xml:space="preserve"> 道路及桥梁等敏感路段设警示标志，减速标志，提醒司机注意安全，减速行</w:t>
      </w:r>
      <w:r>
        <w:rPr>
          <w:rFonts w:ascii="宋体" w:hAnsi="宋体" w:eastAsia="宋体" w:cs="宋体"/>
          <w:spacing w:val="-1"/>
          <w:sz w:val="24"/>
          <w:szCs w:val="24"/>
        </w:rPr>
        <w:t>驶。</w:t>
      </w:r>
    </w:p>
    <w:p w14:paraId="2A1BDDC9">
      <w:pPr>
        <w:spacing w:before="1" w:line="219" w:lineRule="auto"/>
        <w:ind w:left="483"/>
        <w:rPr>
          <w:rFonts w:ascii="宋体" w:hAnsi="宋体" w:eastAsia="宋体" w:cs="宋体"/>
          <w:sz w:val="26"/>
          <w:szCs w:val="26"/>
        </w:rPr>
      </w:pPr>
      <w:r>
        <w:rPr>
          <w:rFonts w:ascii="宋体" w:hAnsi="宋体" w:eastAsia="宋体" w:cs="宋体"/>
          <w:b/>
          <w:bCs/>
          <w:spacing w:val="-22"/>
          <w:sz w:val="26"/>
          <w:szCs w:val="26"/>
        </w:rPr>
        <w:t>应急部门：</w:t>
      </w:r>
    </w:p>
    <w:p w14:paraId="6DA614B4">
      <w:pPr>
        <w:spacing w:before="151" w:line="219" w:lineRule="auto"/>
        <w:outlineLvl w:val="2"/>
        <w:rPr>
          <w:rFonts w:ascii="宋体" w:hAnsi="宋体" w:eastAsia="宋体" w:cs="宋体"/>
          <w:sz w:val="26"/>
          <w:szCs w:val="26"/>
        </w:rPr>
      </w:pPr>
      <w:bookmarkStart w:id="40" w:name="bookmark30"/>
      <w:bookmarkEnd w:id="40"/>
      <w:r>
        <w:rPr>
          <w:rFonts w:ascii="宋体" w:hAnsi="宋体" w:eastAsia="宋体" w:cs="宋体"/>
          <w:spacing w:val="-13"/>
          <w:sz w:val="26"/>
          <w:szCs w:val="26"/>
        </w:rPr>
        <w:t>4.1.</w:t>
      </w:r>
      <w:r>
        <w:rPr>
          <w:rFonts w:ascii="宋体" w:hAnsi="宋体" w:eastAsia="宋体" w:cs="宋体"/>
          <w:b/>
          <w:bCs/>
          <w:spacing w:val="-13"/>
          <w:sz w:val="26"/>
          <w:szCs w:val="26"/>
        </w:rPr>
        <w:t>2信息收集与研判</w:t>
      </w:r>
    </w:p>
    <w:p w14:paraId="12B6A737">
      <w:pPr>
        <w:spacing w:before="191" w:line="219" w:lineRule="auto"/>
        <w:rPr>
          <w:rFonts w:ascii="宋体" w:hAnsi="宋体" w:eastAsia="宋体" w:cs="宋体"/>
          <w:sz w:val="23"/>
          <w:szCs w:val="23"/>
        </w:rPr>
      </w:pPr>
      <w:r>
        <w:rPr>
          <w:rFonts w:ascii="宋体" w:hAnsi="宋体" w:eastAsia="宋体" w:cs="宋体"/>
          <w:spacing w:val="9"/>
          <w:sz w:val="23"/>
          <w:szCs w:val="23"/>
        </w:rPr>
        <w:t>4.1.2.</w:t>
      </w:r>
      <w:r>
        <w:rPr>
          <w:rFonts w:ascii="宋体" w:hAnsi="宋体" w:eastAsia="宋体" w:cs="宋体"/>
          <w:b/>
          <w:bCs/>
          <w:spacing w:val="9"/>
          <w:sz w:val="23"/>
          <w:szCs w:val="23"/>
        </w:rPr>
        <w:t>1信息收集</w:t>
      </w:r>
    </w:p>
    <w:p w14:paraId="38473626">
      <w:pPr>
        <w:spacing w:before="193" w:line="358" w:lineRule="auto"/>
        <w:ind w:right="112" w:firstLine="479"/>
        <w:rPr>
          <w:rFonts w:ascii="宋体" w:hAnsi="宋体" w:eastAsia="宋体" w:cs="宋体"/>
          <w:sz w:val="24"/>
          <w:szCs w:val="24"/>
        </w:rPr>
      </w:pPr>
      <w:r>
        <w:rPr>
          <w:rFonts w:ascii="宋体" w:hAnsi="宋体" w:eastAsia="宋体" w:cs="宋体"/>
          <w:spacing w:val="1"/>
          <w:sz w:val="24"/>
          <w:szCs w:val="24"/>
        </w:rPr>
        <w:t>包头市石拐区集中式饮用水水源地突发环境事件信息收集主要由包头市石</w:t>
      </w:r>
      <w:r>
        <w:rPr>
          <w:rFonts w:ascii="宋体" w:hAnsi="宋体" w:eastAsia="宋体" w:cs="宋体"/>
          <w:sz w:val="24"/>
          <w:szCs w:val="24"/>
        </w:rPr>
        <w:t xml:space="preserve">  </w:t>
      </w:r>
      <w:r>
        <w:rPr>
          <w:rFonts w:ascii="宋体" w:hAnsi="宋体" w:eastAsia="宋体" w:cs="宋体"/>
          <w:spacing w:val="-2"/>
          <w:sz w:val="24"/>
          <w:szCs w:val="24"/>
        </w:rPr>
        <w:t>拐区人民政府、石拐区住建局、石拐区农牧局、石拐区公安局和石拐区生态环境</w:t>
      </w:r>
      <w:r>
        <w:rPr>
          <w:rFonts w:ascii="宋体" w:hAnsi="宋体" w:eastAsia="宋体" w:cs="宋体"/>
          <w:sz w:val="24"/>
          <w:szCs w:val="24"/>
        </w:rPr>
        <w:t xml:space="preserve"> </w:t>
      </w:r>
      <w:r>
        <w:rPr>
          <w:rFonts w:ascii="宋体" w:hAnsi="宋体" w:eastAsia="宋体" w:cs="宋体"/>
          <w:spacing w:val="-2"/>
          <w:sz w:val="24"/>
          <w:szCs w:val="24"/>
        </w:rPr>
        <w:t>局石拐区分局负责收集。主要收集包头市石拐区集中</w:t>
      </w:r>
      <w:r>
        <w:rPr>
          <w:rFonts w:ascii="宋体" w:hAnsi="宋体" w:eastAsia="宋体" w:cs="宋体"/>
          <w:spacing w:val="-3"/>
          <w:sz w:val="24"/>
          <w:szCs w:val="24"/>
        </w:rPr>
        <w:t>式饮用水水源地一、二级保</w:t>
      </w:r>
      <w:r>
        <w:rPr>
          <w:rFonts w:ascii="宋体" w:hAnsi="宋体" w:eastAsia="宋体" w:cs="宋体"/>
          <w:sz w:val="24"/>
          <w:szCs w:val="24"/>
        </w:rPr>
        <w:t xml:space="preserve"> </w:t>
      </w:r>
      <w:r>
        <w:rPr>
          <w:rFonts w:ascii="宋体" w:hAnsi="宋体" w:eastAsia="宋体" w:cs="宋体"/>
          <w:spacing w:val="-2"/>
          <w:sz w:val="24"/>
          <w:szCs w:val="24"/>
        </w:rPr>
        <w:t>护区范围内的地下水水质信息、水源地周边风险源环境事件信息和公路流动源事</w:t>
      </w:r>
      <w:r>
        <w:rPr>
          <w:rFonts w:ascii="宋体" w:hAnsi="宋体" w:eastAsia="宋体" w:cs="宋体"/>
          <w:sz w:val="24"/>
          <w:szCs w:val="24"/>
        </w:rPr>
        <w:t xml:space="preserve"> </w:t>
      </w:r>
      <w:r>
        <w:rPr>
          <w:rFonts w:ascii="宋体" w:hAnsi="宋体" w:eastAsia="宋体" w:cs="宋体"/>
          <w:spacing w:val="-9"/>
          <w:sz w:val="24"/>
          <w:szCs w:val="24"/>
        </w:rPr>
        <w:t>故信息。</w:t>
      </w:r>
    </w:p>
    <w:p w14:paraId="40C5F3C4">
      <w:pPr>
        <w:spacing w:before="1" w:line="219" w:lineRule="auto"/>
        <w:ind w:left="479"/>
        <w:rPr>
          <w:rFonts w:ascii="宋体" w:hAnsi="宋体" w:eastAsia="宋体" w:cs="宋体"/>
          <w:sz w:val="24"/>
          <w:szCs w:val="24"/>
        </w:rPr>
      </w:pPr>
      <w:r>
        <w:rPr>
          <w:rFonts w:ascii="宋体" w:hAnsi="宋体" w:eastAsia="宋体" w:cs="宋体"/>
          <w:spacing w:val="-3"/>
          <w:sz w:val="24"/>
          <w:szCs w:val="24"/>
        </w:rPr>
        <w:t>信息来源的途径包括：</w:t>
      </w:r>
    </w:p>
    <w:p w14:paraId="07A2444C">
      <w:pPr>
        <w:spacing w:before="196" w:line="324" w:lineRule="auto"/>
        <w:ind w:right="152" w:firstLine="479"/>
        <w:rPr>
          <w:rFonts w:ascii="宋体" w:hAnsi="宋体" w:eastAsia="宋体" w:cs="宋体"/>
          <w:sz w:val="24"/>
          <w:szCs w:val="24"/>
        </w:rPr>
      </w:pPr>
      <w:r>
        <w:rPr>
          <w:rFonts w:ascii="宋体" w:hAnsi="宋体" w:eastAsia="宋体" w:cs="宋体"/>
          <w:sz w:val="24"/>
          <w:szCs w:val="24"/>
        </w:rPr>
        <w:t>1、包头市石拐区人民政府、石拐区住建局、石拐区农牧局可通过水源地或</w:t>
      </w:r>
      <w:r>
        <w:rPr>
          <w:rFonts w:ascii="宋体" w:hAnsi="宋体" w:eastAsia="宋体" w:cs="宋体"/>
          <w:spacing w:val="10"/>
          <w:sz w:val="24"/>
          <w:szCs w:val="24"/>
        </w:rPr>
        <w:t xml:space="preserve"> </w:t>
      </w:r>
      <w:r>
        <w:rPr>
          <w:rFonts w:ascii="宋体" w:hAnsi="宋体" w:eastAsia="宋体" w:cs="宋体"/>
          <w:sz w:val="24"/>
          <w:szCs w:val="24"/>
        </w:rPr>
        <w:t>供水单位开展水质监督性检测或通过在线监测等日常</w:t>
      </w:r>
      <w:r>
        <w:rPr>
          <w:rFonts w:ascii="宋体" w:hAnsi="宋体" w:eastAsia="宋体" w:cs="宋体"/>
          <w:spacing w:val="-1"/>
          <w:sz w:val="24"/>
          <w:szCs w:val="24"/>
        </w:rPr>
        <w:t>监管渠道获取水质异常信</w:t>
      </w:r>
      <w:r>
        <w:rPr>
          <w:rFonts w:ascii="宋体" w:hAnsi="宋体" w:eastAsia="宋体" w:cs="宋体"/>
          <w:sz w:val="24"/>
          <w:szCs w:val="24"/>
        </w:rPr>
        <w:t xml:space="preserve">  </w:t>
      </w:r>
      <w:r>
        <w:rPr>
          <w:rFonts w:ascii="宋体" w:hAnsi="宋体" w:eastAsia="宋体" w:cs="宋体"/>
          <w:spacing w:val="-3"/>
          <w:sz w:val="24"/>
          <w:szCs w:val="24"/>
        </w:rPr>
        <w:t>息，也可通过地质灾害、</w:t>
      </w:r>
      <w:r>
        <w:rPr>
          <w:rFonts w:ascii="宋体" w:hAnsi="宋体" w:eastAsia="宋体" w:cs="宋体"/>
          <w:color w:val="607070"/>
          <w:spacing w:val="-3"/>
          <w:sz w:val="24"/>
          <w:szCs w:val="24"/>
        </w:rPr>
        <w:t>污染源排放等信息开展水质预测预警</w:t>
      </w:r>
      <w:r>
        <w:rPr>
          <w:rFonts w:ascii="宋体" w:hAnsi="宋体" w:eastAsia="宋体" w:cs="宋体"/>
          <w:color w:val="607070"/>
          <w:spacing w:val="-4"/>
          <w:sz w:val="24"/>
          <w:szCs w:val="24"/>
        </w:rPr>
        <w:t>，获取水质异常信</w:t>
      </w:r>
      <w:r>
        <w:rPr>
          <w:rFonts w:ascii="宋体" w:hAnsi="宋体" w:eastAsia="宋体" w:cs="宋体"/>
          <w:color w:val="607070"/>
          <w:sz w:val="24"/>
          <w:szCs w:val="24"/>
        </w:rPr>
        <w:t xml:space="preserve"> </w:t>
      </w:r>
      <w:r>
        <w:rPr>
          <w:rFonts w:ascii="宋体" w:hAnsi="宋体" w:eastAsia="宋体" w:cs="宋体"/>
          <w:spacing w:val="-10"/>
          <w:sz w:val="24"/>
          <w:szCs w:val="24"/>
        </w:rPr>
        <w:t>息。</w:t>
      </w:r>
    </w:p>
    <w:p w14:paraId="4D5D3A7D">
      <w:pPr>
        <w:spacing w:before="185" w:line="290" w:lineRule="auto"/>
        <w:ind w:right="153" w:firstLine="47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、包头市生态环境局石拐区分局可通</w:t>
      </w:r>
      <w:r>
        <w:rPr>
          <w:rFonts w:ascii="宋体" w:hAnsi="宋体" w:eastAsia="宋体" w:cs="宋体"/>
          <w:color w:val="607070"/>
          <w:spacing w:val="-1"/>
          <w:sz w:val="24"/>
          <w:szCs w:val="24"/>
        </w:rPr>
        <w:t>过水源地上游及周边主要风险源监控</w:t>
      </w:r>
      <w:r>
        <w:rPr>
          <w:rFonts w:ascii="宋体" w:hAnsi="宋体" w:eastAsia="宋体" w:cs="宋体"/>
          <w:color w:val="607070"/>
          <w:sz w:val="24"/>
          <w:szCs w:val="24"/>
        </w:rPr>
        <w:t xml:space="preserve"> </w:t>
      </w:r>
      <w:r>
        <w:rPr>
          <w:rFonts w:ascii="宋体" w:hAnsi="宋体" w:eastAsia="宋体" w:cs="宋体"/>
          <w:spacing w:val="-1"/>
          <w:sz w:val="24"/>
          <w:szCs w:val="24"/>
        </w:rPr>
        <w:t>获取异常排放信息，也可通过12369热线、网络等途径获取突发环境事件信息。</w:t>
      </w:r>
    </w:p>
    <w:p w14:paraId="1C3B155C">
      <w:pPr>
        <w:spacing w:before="185" w:line="219" w:lineRule="auto"/>
        <w:ind w:left="479"/>
        <w:rPr>
          <w:rFonts w:ascii="宋体" w:hAnsi="宋体" w:eastAsia="宋体" w:cs="宋体"/>
          <w:sz w:val="24"/>
          <w:szCs w:val="24"/>
        </w:rPr>
      </w:pPr>
      <w:r>
        <w:rPr>
          <w:rFonts w:ascii="Times New Roman" w:hAnsi="Times New Roman" w:eastAsia="Times New Roman" w:cs="Times New Roman"/>
          <w:spacing w:val="-4"/>
          <w:sz w:val="24"/>
          <w:szCs w:val="24"/>
        </w:rPr>
        <w:t>3</w:t>
      </w:r>
      <w:r>
        <w:rPr>
          <w:rFonts w:ascii="宋体" w:hAnsi="宋体" w:eastAsia="宋体" w:cs="宋体"/>
          <w:spacing w:val="-4"/>
          <w:sz w:val="24"/>
          <w:szCs w:val="24"/>
        </w:rPr>
        <w:t>、石拐区公安局和石拐区农牧局可通过交通事故报警获取流动源事故信息。</w:t>
      </w:r>
    </w:p>
    <w:p w14:paraId="7AEFBABF">
      <w:pPr>
        <w:spacing w:before="173" w:line="295" w:lineRule="auto"/>
        <w:ind w:right="146" w:firstLine="479"/>
        <w:rPr>
          <w:rFonts w:ascii="宋体" w:hAnsi="宋体" w:eastAsia="宋体" w:cs="宋体"/>
          <w:sz w:val="24"/>
          <w:szCs w:val="24"/>
        </w:rPr>
      </w:pPr>
      <w:r>
        <w:rPr>
          <w:rFonts w:ascii="宋体" w:hAnsi="宋体" w:eastAsia="宋体" w:cs="宋体"/>
          <w:sz w:val="24"/>
          <w:szCs w:val="24"/>
        </w:rPr>
        <w:t>4、通过本级人民政府不同部门之间、上下游相邻行政区政府之间建立的信</w:t>
      </w:r>
      <w:r>
        <w:rPr>
          <w:rFonts w:ascii="宋体" w:hAnsi="宋体" w:eastAsia="宋体" w:cs="宋体"/>
          <w:spacing w:val="15"/>
          <w:sz w:val="24"/>
          <w:szCs w:val="24"/>
        </w:rPr>
        <w:t xml:space="preserve"> </w:t>
      </w:r>
      <w:r>
        <w:rPr>
          <w:rFonts w:ascii="宋体" w:hAnsi="宋体" w:eastAsia="宋体" w:cs="宋体"/>
          <w:spacing w:val="-2"/>
          <w:sz w:val="24"/>
          <w:szCs w:val="24"/>
        </w:rPr>
        <w:t>息收集与共享渠道，获取突发环境事件信息。</w:t>
      </w:r>
    </w:p>
    <w:p w14:paraId="49454317">
      <w:pPr>
        <w:spacing w:before="170" w:line="219" w:lineRule="auto"/>
        <w:rPr>
          <w:rFonts w:ascii="宋体" w:hAnsi="宋体" w:eastAsia="宋体" w:cs="宋体"/>
          <w:sz w:val="24"/>
          <w:szCs w:val="24"/>
        </w:rPr>
      </w:pPr>
      <w:r>
        <w:rPr>
          <w:rFonts w:ascii="宋体" w:hAnsi="宋体" w:eastAsia="宋体" w:cs="宋体"/>
          <w:sz w:val="24"/>
          <w:szCs w:val="24"/>
        </w:rPr>
        <w:t>4.1.2.</w:t>
      </w:r>
      <w:r>
        <w:rPr>
          <w:rFonts w:ascii="宋体" w:hAnsi="宋体" w:eastAsia="宋体" w:cs="宋体"/>
          <w:b/>
          <w:bCs/>
          <w:sz w:val="24"/>
          <w:szCs w:val="24"/>
        </w:rPr>
        <w:t>1信息研判与会商</w:t>
      </w:r>
    </w:p>
    <w:p w14:paraId="7CB9F0B0">
      <w:pPr>
        <w:spacing w:line="219" w:lineRule="auto"/>
        <w:rPr>
          <w:rFonts w:ascii="宋体" w:hAnsi="宋体" w:eastAsia="宋体" w:cs="宋体"/>
          <w:sz w:val="24"/>
          <w:szCs w:val="24"/>
        </w:rPr>
        <w:sectPr>
          <w:footerReference r:id="rId24" w:type="default"/>
          <w:pgSz w:w="11910" w:h="16850"/>
          <w:pgMar w:top="1432" w:right="1786" w:bottom="1341" w:left="1680" w:header="0" w:footer="1197" w:gutter="0"/>
          <w:cols w:space="720" w:num="1"/>
        </w:sectPr>
      </w:pPr>
    </w:p>
    <w:p w14:paraId="69727670">
      <w:pPr>
        <w:spacing w:before="48" w:line="357" w:lineRule="auto"/>
        <w:ind w:right="152" w:firstLine="489"/>
        <w:rPr>
          <w:rFonts w:ascii="宋体" w:hAnsi="宋体" w:eastAsia="宋体" w:cs="宋体"/>
          <w:sz w:val="24"/>
          <w:szCs w:val="24"/>
        </w:rPr>
      </w:pPr>
      <w:bookmarkStart w:id="41" w:name="bookmark80"/>
      <w:bookmarkEnd w:id="41"/>
      <w:r>
        <w:rPr>
          <w:rFonts w:ascii="宋体" w:hAnsi="宋体" w:eastAsia="宋体" w:cs="宋体"/>
          <w:color w:val="506070"/>
          <w:spacing w:val="-2"/>
          <w:sz w:val="24"/>
          <w:szCs w:val="24"/>
        </w:rPr>
        <w:t>当通过日常监管渠道发现水质异常或群众举</w:t>
      </w:r>
      <w:r>
        <w:rPr>
          <w:rFonts w:ascii="宋体" w:hAnsi="宋体" w:eastAsia="宋体" w:cs="宋体"/>
          <w:color w:val="506070"/>
          <w:spacing w:val="-3"/>
          <w:sz w:val="24"/>
          <w:szCs w:val="24"/>
        </w:rPr>
        <w:t>报、</w:t>
      </w:r>
      <w:r>
        <w:rPr>
          <w:rFonts w:ascii="宋体" w:hAnsi="宋体" w:eastAsia="宋体" w:cs="宋体"/>
          <w:spacing w:val="-3"/>
          <w:sz w:val="24"/>
          <w:szCs w:val="24"/>
        </w:rPr>
        <w:t>责任单位报告等获取突发事</w:t>
      </w:r>
      <w:r>
        <w:rPr>
          <w:rFonts w:ascii="宋体" w:hAnsi="宋体" w:eastAsia="宋体" w:cs="宋体"/>
          <w:sz w:val="24"/>
          <w:szCs w:val="24"/>
        </w:rPr>
        <w:t xml:space="preserve"> </w:t>
      </w:r>
      <w:r>
        <w:rPr>
          <w:rFonts w:ascii="宋体" w:hAnsi="宋体" w:eastAsia="宋体" w:cs="宋体"/>
          <w:spacing w:val="-2"/>
          <w:sz w:val="24"/>
          <w:szCs w:val="24"/>
        </w:rPr>
        <w:t>件信息的部门，应第一时间开展以下工作：</w:t>
      </w:r>
    </w:p>
    <w:p w14:paraId="67C33A8A">
      <w:pPr>
        <w:spacing w:before="3" w:line="219" w:lineRule="auto"/>
        <w:ind w:left="610"/>
        <w:rPr>
          <w:rFonts w:ascii="宋体" w:hAnsi="宋体" w:eastAsia="宋体" w:cs="宋体"/>
          <w:sz w:val="24"/>
          <w:szCs w:val="24"/>
        </w:rPr>
      </w:pPr>
      <w:r>
        <w:rPr>
          <w:rFonts w:ascii="宋体" w:hAnsi="宋体" w:eastAsia="宋体" w:cs="宋体"/>
          <w:spacing w:val="16"/>
          <w:sz w:val="24"/>
          <w:szCs w:val="24"/>
        </w:rPr>
        <w:t>(1)核实信息的真实性；</w:t>
      </w:r>
    </w:p>
    <w:p w14:paraId="188D29A4">
      <w:pPr>
        <w:spacing w:before="185" w:line="219" w:lineRule="auto"/>
        <w:ind w:left="610"/>
        <w:rPr>
          <w:rFonts w:ascii="宋体" w:hAnsi="宋体" w:eastAsia="宋体" w:cs="宋体"/>
          <w:sz w:val="24"/>
          <w:szCs w:val="24"/>
        </w:rPr>
      </w:pPr>
      <w:r>
        <w:rPr>
          <w:rFonts w:ascii="宋体" w:hAnsi="宋体" w:eastAsia="宋体" w:cs="宋体"/>
          <w:spacing w:val="3"/>
          <w:sz w:val="24"/>
          <w:szCs w:val="24"/>
        </w:rPr>
        <w:t>(2)进</w:t>
      </w:r>
      <w:r>
        <w:rPr>
          <w:rFonts w:ascii="宋体" w:hAnsi="宋体" w:eastAsia="宋体" w:cs="宋体"/>
          <w:spacing w:val="-60"/>
          <w:sz w:val="24"/>
          <w:szCs w:val="24"/>
        </w:rPr>
        <w:t xml:space="preserve"> </w:t>
      </w:r>
      <w:r>
        <w:rPr>
          <w:rFonts w:ascii="宋体" w:hAnsi="宋体" w:eastAsia="宋体" w:cs="宋体"/>
          <w:spacing w:val="3"/>
          <w:sz w:val="24"/>
          <w:szCs w:val="24"/>
        </w:rPr>
        <w:t>一</w:t>
      </w:r>
      <w:r>
        <w:rPr>
          <w:rFonts w:ascii="宋体" w:hAnsi="宋体" w:eastAsia="宋体" w:cs="宋体"/>
          <w:spacing w:val="-64"/>
          <w:sz w:val="24"/>
          <w:szCs w:val="24"/>
        </w:rPr>
        <w:t xml:space="preserve"> </w:t>
      </w:r>
      <w:r>
        <w:rPr>
          <w:rFonts w:ascii="宋体" w:hAnsi="宋体" w:eastAsia="宋体" w:cs="宋体"/>
          <w:spacing w:val="3"/>
          <w:sz w:val="24"/>
          <w:szCs w:val="24"/>
        </w:rPr>
        <w:t>步收集信息，</w:t>
      </w:r>
      <w:r>
        <w:rPr>
          <w:rFonts w:ascii="宋体" w:hAnsi="宋体" w:eastAsia="宋体" w:cs="宋体"/>
          <w:color w:val="506070"/>
          <w:spacing w:val="3"/>
          <w:sz w:val="24"/>
          <w:szCs w:val="24"/>
        </w:rPr>
        <w:t>必要时通报相关单位共同开展信息收集工作；</w:t>
      </w:r>
    </w:p>
    <w:p w14:paraId="157809D7">
      <w:pPr>
        <w:spacing w:before="173" w:line="218" w:lineRule="auto"/>
        <w:ind w:left="610"/>
        <w:rPr>
          <w:rFonts w:ascii="宋体" w:hAnsi="宋体" w:eastAsia="宋体" w:cs="宋体"/>
          <w:sz w:val="24"/>
          <w:szCs w:val="24"/>
        </w:rPr>
      </w:pPr>
      <w:r>
        <w:rPr>
          <w:rFonts w:ascii="宋体" w:hAnsi="宋体" w:eastAsia="宋体" w:cs="宋体"/>
          <w:spacing w:val="12"/>
          <w:sz w:val="24"/>
          <w:szCs w:val="24"/>
        </w:rPr>
        <w:t>(3)将有关信息报告石拐区人民政府。</w:t>
      </w:r>
    </w:p>
    <w:p w14:paraId="72BE7E6C">
      <w:pPr>
        <w:spacing w:before="198" w:line="355" w:lineRule="auto"/>
        <w:ind w:right="152" w:firstLine="489"/>
        <w:rPr>
          <w:rFonts w:ascii="宋体" w:hAnsi="宋体" w:eastAsia="宋体" w:cs="宋体"/>
          <w:sz w:val="24"/>
          <w:szCs w:val="24"/>
        </w:rPr>
      </w:pPr>
      <w:r>
        <w:rPr>
          <w:rFonts w:ascii="宋体" w:hAnsi="宋体" w:eastAsia="宋体" w:cs="宋体"/>
          <w:color w:val="506070"/>
          <w:spacing w:val="1"/>
          <w:sz w:val="24"/>
          <w:szCs w:val="24"/>
        </w:rPr>
        <w:t>石拐区人民政府接到信息报告后应立</w:t>
      </w:r>
      <w:r>
        <w:rPr>
          <w:rFonts w:ascii="宋体" w:hAnsi="宋体" w:eastAsia="宋体" w:cs="宋体"/>
          <w:spacing w:val="1"/>
          <w:sz w:val="24"/>
          <w:szCs w:val="24"/>
        </w:rPr>
        <w:t>即组织应急工作组成员单位及应急专</w:t>
      </w:r>
      <w:r>
        <w:rPr>
          <w:rFonts w:ascii="宋体" w:hAnsi="宋体" w:eastAsia="宋体" w:cs="宋体"/>
          <w:sz w:val="24"/>
          <w:szCs w:val="24"/>
        </w:rPr>
        <w:t xml:space="preserve">  </w:t>
      </w:r>
      <w:r>
        <w:rPr>
          <w:rFonts w:ascii="宋体" w:hAnsi="宋体" w:eastAsia="宋体" w:cs="宋体"/>
          <w:spacing w:val="-2"/>
          <w:sz w:val="24"/>
          <w:szCs w:val="24"/>
        </w:rPr>
        <w:t>家进行会商，研判水质变化趋势，若判断可能对水源地水质造成影响，应立即成</w:t>
      </w:r>
      <w:r>
        <w:rPr>
          <w:rFonts w:ascii="宋体" w:hAnsi="宋体" w:eastAsia="宋体" w:cs="宋体"/>
          <w:sz w:val="24"/>
          <w:szCs w:val="24"/>
        </w:rPr>
        <w:t xml:space="preserve"> </w:t>
      </w:r>
      <w:r>
        <w:rPr>
          <w:rFonts w:ascii="宋体" w:hAnsi="宋体" w:eastAsia="宋体" w:cs="宋体"/>
          <w:spacing w:val="-2"/>
          <w:sz w:val="24"/>
          <w:szCs w:val="24"/>
        </w:rPr>
        <w:t>立现场应急指挥部，并启动本预案。</w:t>
      </w:r>
    </w:p>
    <w:p w14:paraId="4AFA427B">
      <w:pPr>
        <w:spacing w:before="23" w:line="220" w:lineRule="auto"/>
        <w:outlineLvl w:val="2"/>
        <w:rPr>
          <w:rFonts w:ascii="宋体" w:hAnsi="宋体" w:eastAsia="宋体" w:cs="宋体"/>
          <w:sz w:val="23"/>
          <w:szCs w:val="23"/>
        </w:rPr>
      </w:pPr>
      <w:bookmarkStart w:id="42" w:name="bookmark31"/>
      <w:bookmarkEnd w:id="42"/>
      <w:r>
        <w:rPr>
          <w:rFonts w:ascii="宋体" w:hAnsi="宋体" w:eastAsia="宋体" w:cs="宋体"/>
          <w:spacing w:val="7"/>
          <w:sz w:val="23"/>
          <w:szCs w:val="23"/>
        </w:rPr>
        <w:t>4.1.</w:t>
      </w:r>
      <w:r>
        <w:rPr>
          <w:rFonts w:ascii="宋体" w:hAnsi="宋体" w:eastAsia="宋体" w:cs="宋体"/>
          <w:b/>
          <w:bCs/>
          <w:spacing w:val="7"/>
          <w:sz w:val="23"/>
          <w:szCs w:val="23"/>
        </w:rPr>
        <w:t>3预警</w:t>
      </w:r>
    </w:p>
    <w:p w14:paraId="6687E5A9">
      <w:pPr>
        <w:spacing w:before="186" w:line="220" w:lineRule="auto"/>
        <w:rPr>
          <w:rFonts w:ascii="宋体" w:hAnsi="宋体" w:eastAsia="宋体" w:cs="宋体"/>
          <w:sz w:val="24"/>
          <w:szCs w:val="24"/>
        </w:rPr>
      </w:pPr>
      <w:r>
        <w:rPr>
          <w:rFonts w:ascii="宋体" w:hAnsi="宋体" w:eastAsia="宋体" w:cs="宋体"/>
          <w:spacing w:val="2"/>
          <w:sz w:val="24"/>
          <w:szCs w:val="24"/>
        </w:rPr>
        <w:t>4.1.3.</w:t>
      </w:r>
      <w:r>
        <w:rPr>
          <w:rFonts w:ascii="宋体" w:hAnsi="宋体" w:eastAsia="宋体" w:cs="宋体"/>
          <w:b/>
          <w:bCs/>
          <w:spacing w:val="2"/>
          <w:sz w:val="24"/>
          <w:szCs w:val="24"/>
        </w:rPr>
        <w:t>1预警分级</w:t>
      </w:r>
    </w:p>
    <w:p w14:paraId="51FC31AF">
      <w:pPr>
        <w:spacing w:before="183" w:line="358" w:lineRule="auto"/>
        <w:ind w:right="144" w:firstLine="489"/>
        <w:jc w:val="both"/>
        <w:rPr>
          <w:rFonts w:ascii="宋体" w:hAnsi="宋体" w:eastAsia="宋体" w:cs="宋体"/>
          <w:sz w:val="24"/>
          <w:szCs w:val="24"/>
        </w:rPr>
      </w:pPr>
      <w:r>
        <w:rPr>
          <w:rFonts w:ascii="宋体" w:hAnsi="宋体" w:eastAsia="宋体" w:cs="宋体"/>
          <w:spacing w:val="-2"/>
          <w:sz w:val="24"/>
          <w:szCs w:val="24"/>
        </w:rPr>
        <w:t>按照集中式饮用水源地的重要性、污染物危害性、事态的紧</w:t>
      </w:r>
      <w:r>
        <w:rPr>
          <w:rFonts w:ascii="宋体" w:hAnsi="宋体" w:eastAsia="宋体" w:cs="宋体"/>
          <w:spacing w:val="-3"/>
          <w:sz w:val="24"/>
          <w:szCs w:val="24"/>
        </w:rPr>
        <w:t>急程度、采取的</w:t>
      </w:r>
      <w:r>
        <w:rPr>
          <w:rFonts w:ascii="宋体" w:hAnsi="宋体" w:eastAsia="宋体" w:cs="宋体"/>
          <w:sz w:val="24"/>
          <w:szCs w:val="24"/>
        </w:rPr>
        <w:t xml:space="preserve"> </w:t>
      </w:r>
      <w:r>
        <w:rPr>
          <w:rFonts w:ascii="宋体" w:hAnsi="宋体" w:eastAsia="宋体" w:cs="宋体"/>
          <w:spacing w:val="-2"/>
          <w:sz w:val="24"/>
          <w:szCs w:val="24"/>
        </w:rPr>
        <w:t>响应措施以及对取水可能造成的影响等实际情况，突发环境事件的预警分为两级</w:t>
      </w:r>
      <w:r>
        <w:rPr>
          <w:rFonts w:ascii="宋体" w:hAnsi="宋体" w:eastAsia="宋体" w:cs="宋体"/>
          <w:spacing w:val="3"/>
          <w:sz w:val="24"/>
          <w:szCs w:val="24"/>
        </w:rPr>
        <w:t xml:space="preserve"> </w:t>
      </w:r>
      <w:r>
        <w:rPr>
          <w:rFonts w:ascii="宋体" w:hAnsi="宋体" w:eastAsia="宋体" w:cs="宋体"/>
          <w:spacing w:val="-2"/>
          <w:sz w:val="24"/>
          <w:szCs w:val="24"/>
        </w:rPr>
        <w:t>级，预警级别由低到高，分为橙色预警和红色。根据事态的发展情况和采取措施</w:t>
      </w:r>
      <w:r>
        <w:rPr>
          <w:rFonts w:ascii="宋体" w:hAnsi="宋体" w:eastAsia="宋体" w:cs="宋体"/>
          <w:sz w:val="24"/>
          <w:szCs w:val="24"/>
        </w:rPr>
        <w:t xml:space="preserve"> </w:t>
      </w:r>
      <w:r>
        <w:rPr>
          <w:rFonts w:ascii="宋体" w:hAnsi="宋体" w:eastAsia="宋体" w:cs="宋体"/>
          <w:spacing w:val="-2"/>
          <w:sz w:val="24"/>
          <w:szCs w:val="24"/>
        </w:rPr>
        <w:t>的效果，预警颜色可以升级、降级或解除。</w:t>
      </w:r>
    </w:p>
    <w:p w14:paraId="7DB2B987">
      <w:pPr>
        <w:spacing w:before="29" w:line="355" w:lineRule="auto"/>
        <w:ind w:right="133" w:firstLine="489"/>
        <w:jc w:val="both"/>
        <w:rPr>
          <w:rFonts w:ascii="宋体" w:hAnsi="宋体" w:eastAsia="宋体" w:cs="宋体"/>
          <w:sz w:val="24"/>
          <w:szCs w:val="24"/>
        </w:rPr>
      </w:pPr>
      <w:r>
        <w:rPr>
          <w:rFonts w:ascii="宋体" w:hAnsi="宋体" w:eastAsia="宋体" w:cs="宋体"/>
          <w:spacing w:val="-2"/>
          <w:sz w:val="24"/>
          <w:szCs w:val="24"/>
        </w:rPr>
        <w:t>橙色预警：当发生突发环境事件，污染物迁移至水源地应急预案适用的地域</w:t>
      </w:r>
      <w:r>
        <w:rPr>
          <w:rFonts w:ascii="宋体" w:hAnsi="宋体" w:eastAsia="宋体" w:cs="宋体"/>
          <w:spacing w:val="5"/>
          <w:sz w:val="24"/>
          <w:szCs w:val="24"/>
        </w:rPr>
        <w:t xml:space="preserve"> </w:t>
      </w:r>
      <w:r>
        <w:rPr>
          <w:rFonts w:ascii="宋体" w:hAnsi="宋体" w:eastAsia="宋体" w:cs="宋体"/>
          <w:spacing w:val="-2"/>
          <w:sz w:val="24"/>
          <w:szCs w:val="24"/>
        </w:rPr>
        <w:t>范围，但水源保护区水质尚未受到污染，或污染物已进入水源保护区，但经应急</w:t>
      </w:r>
      <w:r>
        <w:rPr>
          <w:rFonts w:ascii="宋体" w:hAnsi="宋体" w:eastAsia="宋体" w:cs="宋体"/>
          <w:spacing w:val="5"/>
          <w:sz w:val="24"/>
          <w:szCs w:val="24"/>
        </w:rPr>
        <w:t xml:space="preserve"> </w:t>
      </w:r>
      <w:r>
        <w:rPr>
          <w:rFonts w:ascii="宋体" w:hAnsi="宋体" w:eastAsia="宋体" w:cs="宋体"/>
          <w:spacing w:val="-3"/>
          <w:sz w:val="24"/>
          <w:szCs w:val="24"/>
        </w:rPr>
        <w:t>专家组研判认为对水源地水质影响可能较小，可能不影响取水时，由石拐区政府</w:t>
      </w:r>
      <w:r>
        <w:rPr>
          <w:rFonts w:ascii="宋体" w:hAnsi="宋体" w:eastAsia="宋体" w:cs="宋体"/>
          <w:spacing w:val="14"/>
          <w:sz w:val="24"/>
          <w:szCs w:val="24"/>
        </w:rPr>
        <w:t xml:space="preserve"> </w:t>
      </w:r>
      <w:r>
        <w:rPr>
          <w:rFonts w:ascii="宋体" w:hAnsi="宋体" w:eastAsia="宋体" w:cs="宋体"/>
          <w:spacing w:val="-6"/>
          <w:sz w:val="24"/>
          <w:szCs w:val="24"/>
        </w:rPr>
        <w:t>发布橙色预警。</w:t>
      </w:r>
    </w:p>
    <w:p w14:paraId="5A99F626">
      <w:pPr>
        <w:spacing w:before="25" w:line="355" w:lineRule="auto"/>
        <w:ind w:right="135" w:firstLine="489"/>
        <w:jc w:val="both"/>
        <w:rPr>
          <w:rFonts w:ascii="宋体" w:hAnsi="宋体" w:eastAsia="宋体" w:cs="宋体"/>
          <w:sz w:val="24"/>
          <w:szCs w:val="24"/>
        </w:rPr>
      </w:pPr>
      <w:r>
        <w:rPr>
          <w:rFonts w:ascii="宋体" w:hAnsi="宋体" w:eastAsia="宋体" w:cs="宋体"/>
          <w:spacing w:val="-2"/>
          <w:sz w:val="24"/>
          <w:szCs w:val="24"/>
        </w:rPr>
        <w:t>红色预警：当发生突发环境事件，污染物已</w:t>
      </w:r>
      <w:r>
        <w:rPr>
          <w:rFonts w:ascii="宋体" w:hAnsi="宋体" w:eastAsia="宋体" w:cs="宋体"/>
          <w:spacing w:val="-3"/>
          <w:sz w:val="24"/>
          <w:szCs w:val="24"/>
        </w:rPr>
        <w:t>进入水源保护区并污染水源地水</w:t>
      </w:r>
      <w:r>
        <w:rPr>
          <w:rFonts w:ascii="宋体" w:hAnsi="宋体" w:eastAsia="宋体" w:cs="宋体"/>
          <w:sz w:val="24"/>
          <w:szCs w:val="24"/>
        </w:rPr>
        <w:t xml:space="preserve"> </w:t>
      </w:r>
      <w:r>
        <w:rPr>
          <w:rFonts w:ascii="宋体" w:hAnsi="宋体" w:eastAsia="宋体" w:cs="宋体"/>
          <w:spacing w:val="-2"/>
          <w:sz w:val="24"/>
          <w:szCs w:val="24"/>
        </w:rPr>
        <w:t>质，且应急专家组研判认为对水源地水质影响可能较大时，可能影响取水时，由</w:t>
      </w:r>
      <w:r>
        <w:rPr>
          <w:rFonts w:ascii="宋体" w:hAnsi="宋体" w:eastAsia="宋体" w:cs="宋体"/>
          <w:spacing w:val="16"/>
          <w:sz w:val="24"/>
          <w:szCs w:val="24"/>
        </w:rPr>
        <w:t xml:space="preserve"> </w:t>
      </w:r>
      <w:r>
        <w:rPr>
          <w:rFonts w:ascii="宋体" w:hAnsi="宋体" w:eastAsia="宋体" w:cs="宋体"/>
          <w:sz w:val="24"/>
          <w:szCs w:val="24"/>
        </w:rPr>
        <w:t>石拐区政府发布橙色预警，并及时上报包头市政府及包头市生态环境局。</w:t>
      </w:r>
    </w:p>
    <w:p w14:paraId="0F3514E3">
      <w:pPr>
        <w:spacing w:before="17" w:line="358" w:lineRule="auto"/>
        <w:ind w:right="103" w:firstLine="489"/>
        <w:jc w:val="both"/>
        <w:rPr>
          <w:rFonts w:ascii="宋体" w:hAnsi="宋体" w:eastAsia="宋体" w:cs="宋体"/>
          <w:sz w:val="24"/>
          <w:szCs w:val="24"/>
        </w:rPr>
      </w:pPr>
      <w:r>
        <w:rPr>
          <w:rFonts w:ascii="宋体" w:hAnsi="宋体" w:eastAsia="宋体" w:cs="宋体"/>
          <w:spacing w:val="-2"/>
          <w:sz w:val="24"/>
          <w:szCs w:val="24"/>
        </w:rPr>
        <w:t>当地人民政府发布预警信息或调整预警级别并重新</w:t>
      </w:r>
      <w:r>
        <w:rPr>
          <w:rFonts w:ascii="宋体" w:hAnsi="宋体" w:eastAsia="宋体" w:cs="宋体"/>
          <w:spacing w:val="-3"/>
          <w:sz w:val="24"/>
          <w:szCs w:val="24"/>
        </w:rPr>
        <w:t>发布时，可通过广播、电</w:t>
      </w:r>
      <w:r>
        <w:rPr>
          <w:rFonts w:ascii="宋体" w:hAnsi="宋体" w:eastAsia="宋体" w:cs="宋体"/>
          <w:sz w:val="24"/>
          <w:szCs w:val="24"/>
        </w:rPr>
        <w:t xml:space="preserve"> </w:t>
      </w:r>
      <w:r>
        <w:rPr>
          <w:rFonts w:ascii="宋体" w:hAnsi="宋体" w:eastAsia="宋体" w:cs="宋体"/>
          <w:spacing w:val="-1"/>
          <w:sz w:val="24"/>
          <w:szCs w:val="24"/>
        </w:rPr>
        <w:t>视、报刊、通信、信息网络、报警器、宣传车或组织人员通知住户等方式进行，</w:t>
      </w:r>
      <w:r>
        <w:rPr>
          <w:rFonts w:ascii="宋体" w:hAnsi="宋体" w:eastAsia="宋体" w:cs="宋体"/>
          <w:spacing w:val="14"/>
          <w:sz w:val="24"/>
          <w:szCs w:val="24"/>
        </w:rPr>
        <w:t xml:space="preserve"> </w:t>
      </w:r>
      <w:r>
        <w:rPr>
          <w:rFonts w:ascii="宋体" w:hAnsi="宋体" w:eastAsia="宋体" w:cs="宋体"/>
          <w:sz w:val="24"/>
          <w:szCs w:val="24"/>
        </w:rPr>
        <w:t>对老、幼、病、残、孕等特殊人群和警报</w:t>
      </w:r>
      <w:r>
        <w:rPr>
          <w:rFonts w:ascii="宋体" w:hAnsi="宋体" w:eastAsia="宋体" w:cs="宋体"/>
          <w:color w:val="506070"/>
          <w:sz w:val="24"/>
          <w:szCs w:val="24"/>
        </w:rPr>
        <w:t>盲区应当采取有针对性的公告方</w:t>
      </w:r>
      <w:r>
        <w:rPr>
          <w:rFonts w:ascii="宋体" w:hAnsi="宋体" w:eastAsia="宋体" w:cs="宋体"/>
          <w:color w:val="506070"/>
          <w:spacing w:val="-1"/>
          <w:sz w:val="24"/>
          <w:szCs w:val="24"/>
        </w:rPr>
        <w:t>式。</w:t>
      </w:r>
    </w:p>
    <w:p w14:paraId="12C98D94">
      <w:pPr>
        <w:spacing w:before="1" w:line="345" w:lineRule="auto"/>
        <w:ind w:left="493" w:right="5836" w:hanging="493"/>
        <w:rPr>
          <w:rFonts w:ascii="宋体" w:hAnsi="宋体" w:eastAsia="宋体" w:cs="宋体"/>
          <w:sz w:val="26"/>
          <w:szCs w:val="26"/>
        </w:rPr>
      </w:pPr>
      <w:r>
        <w:rPr>
          <w:rFonts w:ascii="宋体" w:hAnsi="宋体" w:eastAsia="宋体" w:cs="宋体"/>
          <w:spacing w:val="1"/>
          <w:sz w:val="24"/>
          <w:szCs w:val="24"/>
        </w:rPr>
        <w:t>4.1.</w:t>
      </w:r>
      <w:r>
        <w:rPr>
          <w:rFonts w:ascii="宋体" w:hAnsi="宋体" w:eastAsia="宋体" w:cs="宋体"/>
          <w:b/>
          <w:bCs/>
          <w:spacing w:val="1"/>
          <w:sz w:val="24"/>
          <w:szCs w:val="24"/>
        </w:rPr>
        <w:t>3.1预警启用条件</w:t>
      </w:r>
      <w:r>
        <w:rPr>
          <w:rFonts w:ascii="宋体" w:hAnsi="宋体" w:eastAsia="宋体" w:cs="宋体"/>
          <w:sz w:val="24"/>
          <w:szCs w:val="24"/>
        </w:rPr>
        <w:t xml:space="preserve">   </w:t>
      </w:r>
      <w:r>
        <w:rPr>
          <w:rFonts w:ascii="宋体" w:hAnsi="宋体" w:eastAsia="宋体" w:cs="宋体"/>
          <w:b/>
          <w:bCs/>
          <w:spacing w:val="-24"/>
          <w:sz w:val="26"/>
          <w:szCs w:val="26"/>
        </w:rPr>
        <w:t>橙色预警启用条件：</w:t>
      </w:r>
    </w:p>
    <w:p w14:paraId="67AD6737">
      <w:pPr>
        <w:spacing w:before="26" w:line="291" w:lineRule="auto"/>
        <w:ind w:left="1229" w:right="63" w:hanging="619"/>
        <w:rPr>
          <w:rFonts w:ascii="宋体" w:hAnsi="宋体" w:eastAsia="宋体" w:cs="宋体"/>
          <w:sz w:val="24"/>
          <w:szCs w:val="24"/>
        </w:rPr>
      </w:pPr>
      <w:r>
        <w:rPr>
          <w:rFonts w:ascii="宋体" w:hAnsi="宋体" w:eastAsia="宋体" w:cs="宋体"/>
          <w:spacing w:val="2"/>
          <w:sz w:val="24"/>
          <w:szCs w:val="24"/>
        </w:rPr>
        <w:t>(1)  通过信息报告，距二级保护区0.5公里范围内发生固</w:t>
      </w:r>
      <w:r>
        <w:rPr>
          <w:rFonts w:ascii="宋体" w:hAnsi="宋体" w:eastAsia="宋体" w:cs="宋体"/>
          <w:spacing w:val="1"/>
          <w:sz w:val="24"/>
          <w:szCs w:val="24"/>
        </w:rPr>
        <w:t>定源或流动源突</w:t>
      </w:r>
      <w:r>
        <w:rPr>
          <w:rFonts w:ascii="宋体" w:hAnsi="宋体" w:eastAsia="宋体" w:cs="宋体"/>
          <w:sz w:val="24"/>
          <w:szCs w:val="24"/>
        </w:rPr>
        <w:t xml:space="preserve"> </w:t>
      </w:r>
      <w:r>
        <w:rPr>
          <w:rFonts w:ascii="宋体" w:hAnsi="宋体" w:eastAsia="宋体" w:cs="宋体"/>
          <w:spacing w:val="-1"/>
          <w:sz w:val="24"/>
          <w:szCs w:val="24"/>
        </w:rPr>
        <w:t>发环境事件，但经现场监测，水源保护区或连接水体尚未受到污染；</w:t>
      </w:r>
    </w:p>
    <w:p w14:paraId="3DD65D5C">
      <w:pPr>
        <w:spacing w:before="176" w:line="219" w:lineRule="auto"/>
        <w:ind w:left="610"/>
        <w:rPr>
          <w:rFonts w:ascii="宋体" w:hAnsi="宋体" w:eastAsia="宋体" w:cs="宋体"/>
          <w:sz w:val="24"/>
          <w:szCs w:val="24"/>
        </w:rPr>
      </w:pPr>
      <w:r>
        <w:rPr>
          <w:rFonts w:ascii="宋体" w:hAnsi="宋体" w:eastAsia="宋体" w:cs="宋体"/>
          <w:spacing w:val="5"/>
          <w:sz w:val="24"/>
          <w:szCs w:val="24"/>
        </w:rPr>
        <w:t>(2)经现场监测，污染物已进入水源保护区地下含水层，但经专家组研判</w:t>
      </w:r>
    </w:p>
    <w:p w14:paraId="2A59E7FD">
      <w:pPr>
        <w:spacing w:line="219" w:lineRule="auto"/>
        <w:rPr>
          <w:rFonts w:ascii="宋体" w:hAnsi="宋体" w:eastAsia="宋体" w:cs="宋体"/>
          <w:sz w:val="24"/>
          <w:szCs w:val="24"/>
        </w:rPr>
        <w:sectPr>
          <w:footerReference r:id="rId25" w:type="default"/>
          <w:pgSz w:w="11910" w:h="16850"/>
          <w:pgMar w:top="1419" w:right="1786" w:bottom="1473" w:left="1640" w:header="0" w:footer="1311" w:gutter="0"/>
          <w:cols w:space="720" w:num="1"/>
        </w:sectPr>
      </w:pPr>
    </w:p>
    <w:p w14:paraId="29640DDC">
      <w:pPr>
        <w:spacing w:before="197" w:line="219" w:lineRule="auto"/>
        <w:ind w:left="1199"/>
        <w:rPr>
          <w:rFonts w:ascii="宋体" w:hAnsi="宋体" w:eastAsia="宋体" w:cs="宋体"/>
          <w:sz w:val="24"/>
          <w:szCs w:val="24"/>
        </w:rPr>
      </w:pPr>
      <w:r>
        <w:rPr>
          <w:rFonts w:ascii="宋体" w:hAnsi="宋体" w:eastAsia="宋体" w:cs="宋体"/>
          <w:spacing w:val="-1"/>
          <w:sz w:val="24"/>
          <w:szCs w:val="24"/>
        </w:rPr>
        <w:t>认为对水源地水质影响可能较小，可能不影响取水时。</w:t>
      </w:r>
    </w:p>
    <w:p w14:paraId="56FEB7A1">
      <w:pPr>
        <w:spacing w:before="162" w:line="219" w:lineRule="auto"/>
        <w:ind w:left="483"/>
        <w:rPr>
          <w:rFonts w:ascii="宋体" w:hAnsi="宋体" w:eastAsia="宋体" w:cs="宋体"/>
          <w:sz w:val="26"/>
          <w:szCs w:val="26"/>
        </w:rPr>
      </w:pPr>
      <w:bookmarkStart w:id="43" w:name="bookmark81"/>
      <w:bookmarkEnd w:id="43"/>
      <w:r>
        <w:rPr>
          <w:rFonts w:ascii="宋体" w:hAnsi="宋体" w:eastAsia="宋体" w:cs="宋体"/>
          <w:b/>
          <w:bCs/>
          <w:spacing w:val="-23"/>
          <w:sz w:val="26"/>
          <w:szCs w:val="26"/>
        </w:rPr>
        <w:t>红色预警启用条件：</w:t>
      </w:r>
    </w:p>
    <w:p w14:paraId="3747226E">
      <w:pPr>
        <w:spacing w:before="172" w:line="218" w:lineRule="auto"/>
        <w:ind w:left="599"/>
        <w:rPr>
          <w:rFonts w:ascii="宋体" w:hAnsi="宋体" w:eastAsia="宋体" w:cs="宋体"/>
          <w:sz w:val="24"/>
          <w:szCs w:val="24"/>
        </w:rPr>
      </w:pPr>
      <w:r>
        <w:rPr>
          <w:rFonts w:ascii="宋体" w:hAnsi="宋体" w:eastAsia="宋体" w:cs="宋体"/>
          <w:spacing w:val="-3"/>
          <w:sz w:val="24"/>
          <w:szCs w:val="24"/>
        </w:rPr>
        <w:t>(1)  通过信息报告，在一、二级保护区内发生突发环境事件或污染物已扩</w:t>
      </w:r>
    </w:p>
    <w:p w14:paraId="08899BDC">
      <w:pPr>
        <w:spacing w:before="188" w:line="219" w:lineRule="auto"/>
        <w:ind w:left="1199"/>
        <w:rPr>
          <w:rFonts w:ascii="宋体" w:hAnsi="宋体" w:eastAsia="宋体" w:cs="宋体"/>
          <w:sz w:val="24"/>
          <w:szCs w:val="24"/>
        </w:rPr>
      </w:pPr>
      <w:r>
        <w:rPr>
          <w:rFonts w:ascii="宋体" w:hAnsi="宋体" w:eastAsia="宋体" w:cs="宋体"/>
          <w:color w:val="606070"/>
          <w:spacing w:val="3"/>
          <w:sz w:val="24"/>
          <w:szCs w:val="24"/>
        </w:rPr>
        <w:t>散至距水源保护区上游直线距离不足100米的地下</w:t>
      </w:r>
      <w:r>
        <w:rPr>
          <w:rFonts w:ascii="宋体" w:hAnsi="宋体" w:eastAsia="宋体" w:cs="宋体"/>
          <w:color w:val="606070"/>
          <w:spacing w:val="2"/>
          <w:sz w:val="24"/>
          <w:szCs w:val="24"/>
        </w:rPr>
        <w:t>水含水层；</w:t>
      </w:r>
    </w:p>
    <w:p w14:paraId="6F77537E">
      <w:pPr>
        <w:spacing w:before="205" w:line="291" w:lineRule="auto"/>
        <w:ind w:left="1199" w:right="98" w:hanging="600"/>
        <w:rPr>
          <w:rFonts w:ascii="宋体" w:hAnsi="宋体" w:eastAsia="宋体" w:cs="宋体"/>
          <w:sz w:val="24"/>
          <w:szCs w:val="24"/>
        </w:rPr>
      </w:pPr>
      <w:r>
        <w:rPr>
          <w:rFonts w:ascii="宋体" w:hAnsi="宋体" w:eastAsia="宋体" w:cs="宋体"/>
          <w:spacing w:val="-3"/>
          <w:sz w:val="24"/>
          <w:szCs w:val="24"/>
        </w:rPr>
        <w:t>(2)  通过现场监测发现，水源保护区水体感官性状异常，且水体出现一场</w:t>
      </w:r>
      <w:r>
        <w:rPr>
          <w:rFonts w:ascii="宋体" w:hAnsi="宋体" w:eastAsia="宋体" w:cs="宋体"/>
          <w:spacing w:val="18"/>
          <w:sz w:val="24"/>
          <w:szCs w:val="24"/>
        </w:rPr>
        <w:t xml:space="preserve"> </w:t>
      </w:r>
      <w:r>
        <w:rPr>
          <w:rFonts w:ascii="宋体" w:hAnsi="宋体" w:eastAsia="宋体" w:cs="宋体"/>
          <w:spacing w:val="-3"/>
          <w:sz w:val="24"/>
          <w:szCs w:val="24"/>
        </w:rPr>
        <w:t>颜色或气味的；</w:t>
      </w:r>
    </w:p>
    <w:p w14:paraId="33F9A2B3">
      <w:pPr>
        <w:spacing w:before="164" w:line="290" w:lineRule="auto"/>
        <w:ind w:left="1199" w:right="102" w:hanging="600"/>
        <w:rPr>
          <w:rFonts w:ascii="宋体" w:hAnsi="宋体" w:eastAsia="宋体" w:cs="宋体"/>
          <w:sz w:val="24"/>
          <w:szCs w:val="24"/>
        </w:rPr>
      </w:pPr>
      <w:r>
        <w:rPr>
          <w:rFonts w:ascii="宋体" w:hAnsi="宋体" w:eastAsia="宋体" w:cs="宋体"/>
          <w:spacing w:val="4"/>
          <w:sz w:val="24"/>
          <w:szCs w:val="24"/>
        </w:rPr>
        <w:t>(3)通过现场监测发现，水源保护区二级保护区内理化指标异常或生物综</w:t>
      </w:r>
      <w:r>
        <w:rPr>
          <w:rFonts w:ascii="宋体" w:hAnsi="宋体" w:eastAsia="宋体" w:cs="宋体"/>
          <w:spacing w:val="17"/>
          <w:sz w:val="24"/>
          <w:szCs w:val="24"/>
        </w:rPr>
        <w:t xml:space="preserve"> </w:t>
      </w:r>
      <w:r>
        <w:rPr>
          <w:rFonts w:ascii="宋体" w:hAnsi="宋体" w:eastAsia="宋体" w:cs="宋体"/>
          <w:spacing w:val="-3"/>
          <w:sz w:val="24"/>
          <w:szCs w:val="24"/>
        </w:rPr>
        <w:t>合毒性异常且污染物浓度持续升高的；</w:t>
      </w:r>
    </w:p>
    <w:p w14:paraId="0DEBBCAA">
      <w:pPr>
        <w:spacing w:before="180" w:line="219" w:lineRule="auto"/>
        <w:rPr>
          <w:rFonts w:ascii="宋体" w:hAnsi="宋体" w:eastAsia="宋体" w:cs="宋体"/>
          <w:sz w:val="24"/>
          <w:szCs w:val="24"/>
        </w:rPr>
      </w:pPr>
      <w:r>
        <w:rPr>
          <w:rFonts w:ascii="宋体" w:hAnsi="宋体" w:eastAsia="宋体" w:cs="宋体"/>
          <w:sz w:val="24"/>
          <w:szCs w:val="24"/>
        </w:rPr>
        <w:t>4.</w:t>
      </w:r>
      <w:r>
        <w:rPr>
          <w:rFonts w:ascii="宋体" w:hAnsi="宋体" w:eastAsia="宋体" w:cs="宋体"/>
          <w:b/>
          <w:bCs/>
          <w:sz w:val="24"/>
          <w:szCs w:val="24"/>
        </w:rPr>
        <w:t>1.3.2发布预警</w:t>
      </w:r>
    </w:p>
    <w:p w14:paraId="091EC008">
      <w:pPr>
        <w:spacing w:before="120" w:line="355" w:lineRule="auto"/>
        <w:ind w:right="99" w:firstLine="479"/>
        <w:rPr>
          <w:rFonts w:ascii="宋体" w:hAnsi="宋体" w:eastAsia="宋体" w:cs="宋体"/>
          <w:sz w:val="24"/>
          <w:szCs w:val="24"/>
        </w:rPr>
      </w:pPr>
      <w:r>
        <w:rPr>
          <w:rFonts w:ascii="宋体" w:hAnsi="宋体" w:eastAsia="宋体" w:cs="宋体"/>
          <w:sz w:val="24"/>
          <w:szCs w:val="24"/>
        </w:rPr>
        <w:t>包头市生态环境局石拐分局对检测到或接到有关</w:t>
      </w:r>
      <w:r>
        <w:rPr>
          <w:rFonts w:ascii="宋体" w:hAnsi="宋体" w:eastAsia="宋体" w:cs="宋体"/>
          <w:spacing w:val="-1"/>
          <w:sz w:val="24"/>
          <w:szCs w:val="24"/>
        </w:rPr>
        <w:t>部门通报的可能发生突发</w:t>
      </w:r>
      <w:r>
        <w:rPr>
          <w:rFonts w:ascii="宋体" w:hAnsi="宋体" w:eastAsia="宋体" w:cs="宋体"/>
          <w:sz w:val="24"/>
          <w:szCs w:val="24"/>
        </w:rPr>
        <w:t xml:space="preserve">  </w:t>
      </w:r>
      <w:r>
        <w:rPr>
          <w:rFonts w:ascii="宋体" w:hAnsi="宋体" w:eastAsia="宋体" w:cs="宋体"/>
          <w:spacing w:val="-3"/>
          <w:sz w:val="24"/>
          <w:szCs w:val="24"/>
        </w:rPr>
        <w:t>环境事件信息进行研判核实后，及时向石拐区政府提出预警信息发布建议，同时</w:t>
      </w:r>
    </w:p>
    <w:p w14:paraId="4C582F38">
      <w:pPr>
        <w:spacing w:before="6" w:line="219" w:lineRule="auto"/>
        <w:rPr>
          <w:rFonts w:ascii="宋体" w:hAnsi="宋体" w:eastAsia="宋体" w:cs="宋体"/>
          <w:sz w:val="24"/>
          <w:szCs w:val="24"/>
        </w:rPr>
      </w:pPr>
      <w:r>
        <w:rPr>
          <w:rFonts w:ascii="宋体" w:hAnsi="宋体" w:eastAsia="宋体" w:cs="宋体"/>
          <w:color w:val="606070"/>
          <w:spacing w:val="-3"/>
          <w:sz w:val="24"/>
          <w:szCs w:val="24"/>
        </w:rPr>
        <w:t>通报应急组织指挥机构各成员单位，并及时向本行政区域公众发布预警信息，并</w:t>
      </w:r>
    </w:p>
    <w:p w14:paraId="3DCD9EDE">
      <w:pPr>
        <w:spacing w:before="177" w:line="219" w:lineRule="auto"/>
        <w:rPr>
          <w:rFonts w:ascii="宋体" w:hAnsi="宋体" w:eastAsia="宋体" w:cs="宋体"/>
          <w:sz w:val="24"/>
          <w:szCs w:val="24"/>
        </w:rPr>
      </w:pPr>
      <w:r>
        <w:rPr>
          <w:rFonts w:ascii="宋体" w:hAnsi="宋体" w:eastAsia="宋体" w:cs="宋体"/>
          <w:spacing w:val="-2"/>
          <w:sz w:val="24"/>
          <w:szCs w:val="24"/>
        </w:rPr>
        <w:t>通报可能影响到的相关区域。同时，现场应急指挥部对事</w:t>
      </w:r>
      <w:r>
        <w:rPr>
          <w:rFonts w:ascii="宋体" w:hAnsi="宋体" w:eastAsia="宋体" w:cs="宋体"/>
          <w:spacing w:val="-3"/>
          <w:sz w:val="24"/>
          <w:szCs w:val="24"/>
        </w:rPr>
        <w:t>件信息进行跟踪收集和</w:t>
      </w:r>
    </w:p>
    <w:p w14:paraId="1DCCCD1D">
      <w:pPr>
        <w:spacing w:before="174" w:line="219" w:lineRule="auto"/>
        <w:rPr>
          <w:rFonts w:ascii="宋体" w:hAnsi="宋体" w:eastAsia="宋体" w:cs="宋体"/>
          <w:sz w:val="24"/>
          <w:szCs w:val="24"/>
        </w:rPr>
      </w:pPr>
      <w:r>
        <w:rPr>
          <w:rFonts w:ascii="宋体" w:hAnsi="宋体" w:eastAsia="宋体" w:cs="宋体"/>
          <w:color w:val="306050"/>
          <w:spacing w:val="-1"/>
          <w:sz w:val="24"/>
          <w:szCs w:val="24"/>
        </w:rPr>
        <w:t>研判，并根据达到的预警级别条件发布相应的预警。相关成员单位照相关指令，</w:t>
      </w:r>
    </w:p>
    <w:p w14:paraId="020D41DA">
      <w:pPr>
        <w:spacing w:before="177" w:line="219" w:lineRule="auto"/>
        <w:rPr>
          <w:rFonts w:ascii="宋体" w:hAnsi="宋体" w:eastAsia="宋体" w:cs="宋体"/>
          <w:sz w:val="24"/>
          <w:szCs w:val="24"/>
        </w:rPr>
      </w:pPr>
      <w:r>
        <w:rPr>
          <w:rFonts w:ascii="宋体" w:hAnsi="宋体" w:eastAsia="宋体" w:cs="宋体"/>
          <w:spacing w:val="-3"/>
          <w:sz w:val="24"/>
          <w:szCs w:val="24"/>
        </w:rPr>
        <w:t>及时进行工作部署，组织实施。</w:t>
      </w:r>
    </w:p>
    <w:p w14:paraId="0A5BADC7">
      <w:pPr>
        <w:spacing w:before="185" w:line="353" w:lineRule="auto"/>
        <w:ind w:right="99" w:firstLine="479"/>
        <w:rPr>
          <w:rFonts w:ascii="宋体" w:hAnsi="宋体" w:eastAsia="宋体" w:cs="宋体"/>
          <w:sz w:val="24"/>
          <w:szCs w:val="24"/>
        </w:rPr>
      </w:pPr>
      <w:r>
        <w:rPr>
          <w:rFonts w:ascii="宋体" w:hAnsi="宋体" w:eastAsia="宋体" w:cs="宋体"/>
          <w:spacing w:val="-3"/>
          <w:sz w:val="24"/>
          <w:szCs w:val="24"/>
        </w:rPr>
        <w:t>发布内容：基本情况、事件类别、预警级别、预警起始时间、可能影响的范</w:t>
      </w:r>
      <w:r>
        <w:rPr>
          <w:rFonts w:ascii="宋体" w:hAnsi="宋体" w:eastAsia="宋体" w:cs="宋体"/>
          <w:spacing w:val="11"/>
          <w:sz w:val="24"/>
          <w:szCs w:val="24"/>
        </w:rPr>
        <w:t xml:space="preserve"> </w:t>
      </w:r>
      <w:r>
        <w:rPr>
          <w:rFonts w:ascii="宋体" w:hAnsi="宋体" w:eastAsia="宋体" w:cs="宋体"/>
          <w:spacing w:val="-1"/>
          <w:sz w:val="24"/>
          <w:szCs w:val="24"/>
        </w:rPr>
        <w:t>围、可能污染的后果、警示事项、应采取的措施、发布</w:t>
      </w:r>
      <w:r>
        <w:rPr>
          <w:rFonts w:ascii="宋体" w:hAnsi="宋体" w:eastAsia="宋体" w:cs="宋体"/>
          <w:spacing w:val="-2"/>
          <w:sz w:val="24"/>
          <w:szCs w:val="24"/>
        </w:rPr>
        <w:t>机关、发布时间。</w:t>
      </w:r>
    </w:p>
    <w:p w14:paraId="47405E21">
      <w:pPr>
        <w:spacing w:before="2" w:line="371" w:lineRule="auto"/>
        <w:ind w:right="122" w:firstLine="479"/>
        <w:rPr>
          <w:rFonts w:ascii="宋体" w:hAnsi="宋体" w:eastAsia="宋体" w:cs="宋体"/>
          <w:sz w:val="24"/>
          <w:szCs w:val="24"/>
        </w:rPr>
      </w:pPr>
      <w:r>
        <w:rPr>
          <w:rFonts w:ascii="宋体" w:hAnsi="宋体" w:eastAsia="宋体" w:cs="宋体"/>
          <w:spacing w:val="-3"/>
          <w:sz w:val="24"/>
          <w:szCs w:val="24"/>
        </w:rPr>
        <w:t>发布方式：通过电视、广播、报纸、互联网、手机</w:t>
      </w:r>
      <w:r>
        <w:rPr>
          <w:rFonts w:ascii="宋体" w:hAnsi="宋体" w:eastAsia="宋体" w:cs="宋体"/>
          <w:spacing w:val="-4"/>
          <w:sz w:val="24"/>
          <w:szCs w:val="24"/>
        </w:rPr>
        <w:t>短信、当面告知等渠道或</w:t>
      </w:r>
      <w:r>
        <w:rPr>
          <w:rFonts w:ascii="宋体" w:hAnsi="宋体" w:eastAsia="宋体" w:cs="宋体"/>
          <w:sz w:val="24"/>
          <w:szCs w:val="24"/>
        </w:rPr>
        <w:t xml:space="preserve"> </w:t>
      </w:r>
      <w:r>
        <w:rPr>
          <w:rFonts w:ascii="宋体" w:hAnsi="宋体" w:eastAsia="宋体" w:cs="宋体"/>
          <w:spacing w:val="-3"/>
          <w:sz w:val="24"/>
          <w:szCs w:val="24"/>
        </w:rPr>
        <w:t>方式及时向社会发布预警信息。</w:t>
      </w:r>
    </w:p>
    <w:p w14:paraId="67A3A811">
      <w:pPr>
        <w:spacing w:before="82" w:line="220" w:lineRule="auto"/>
        <w:rPr>
          <w:rFonts w:ascii="宋体" w:hAnsi="宋体" w:eastAsia="宋体" w:cs="宋体"/>
          <w:sz w:val="23"/>
          <w:szCs w:val="23"/>
        </w:rPr>
      </w:pPr>
      <w:r>
        <w:rPr>
          <w:rFonts w:ascii="宋体" w:hAnsi="宋体" w:eastAsia="宋体" w:cs="宋体"/>
          <w:spacing w:val="8"/>
          <w:sz w:val="23"/>
          <w:szCs w:val="23"/>
        </w:rPr>
        <w:t>4.1.</w:t>
      </w:r>
      <w:r>
        <w:rPr>
          <w:rFonts w:ascii="宋体" w:hAnsi="宋体" w:eastAsia="宋体" w:cs="宋体"/>
          <w:b/>
          <w:bCs/>
          <w:spacing w:val="8"/>
          <w:sz w:val="23"/>
          <w:szCs w:val="23"/>
        </w:rPr>
        <w:t>3.3预警行动</w:t>
      </w:r>
    </w:p>
    <w:p w14:paraId="386A4E9A">
      <w:pPr>
        <w:spacing w:before="98" w:line="358" w:lineRule="auto"/>
        <w:ind w:right="78" w:firstLine="479"/>
        <w:rPr>
          <w:rFonts w:ascii="宋体" w:hAnsi="宋体" w:eastAsia="宋体" w:cs="宋体"/>
          <w:sz w:val="24"/>
          <w:szCs w:val="24"/>
        </w:rPr>
      </w:pPr>
      <w:r>
        <w:rPr>
          <w:rFonts w:ascii="宋体" w:hAnsi="宋体" w:eastAsia="宋体" w:cs="宋体"/>
          <w:spacing w:val="-2"/>
          <w:sz w:val="24"/>
          <w:szCs w:val="24"/>
        </w:rPr>
        <w:t>预警信息发布后，现场应急指挥部及及其有关成员单位立即进入预警状态，</w:t>
      </w:r>
      <w:r>
        <w:rPr>
          <w:rFonts w:ascii="宋体" w:hAnsi="宋体" w:eastAsia="宋体" w:cs="宋体"/>
          <w:sz w:val="24"/>
          <w:szCs w:val="24"/>
        </w:rPr>
        <w:t xml:space="preserve"> </w:t>
      </w:r>
      <w:r>
        <w:rPr>
          <w:rFonts w:ascii="宋体" w:hAnsi="宋体" w:eastAsia="宋体" w:cs="宋体"/>
          <w:spacing w:val="-3"/>
          <w:sz w:val="24"/>
          <w:szCs w:val="24"/>
        </w:rPr>
        <w:t>视情况采取以下措施：</w:t>
      </w:r>
    </w:p>
    <w:p w14:paraId="233467E3">
      <w:pPr>
        <w:spacing w:line="218" w:lineRule="auto"/>
        <w:ind w:left="599"/>
        <w:rPr>
          <w:rFonts w:ascii="宋体" w:hAnsi="宋体" w:eastAsia="宋体" w:cs="宋体"/>
          <w:sz w:val="24"/>
          <w:szCs w:val="24"/>
        </w:rPr>
      </w:pPr>
      <w:r>
        <w:rPr>
          <w:rFonts w:ascii="宋体" w:hAnsi="宋体" w:eastAsia="宋体" w:cs="宋体"/>
          <w:spacing w:val="7"/>
          <w:sz w:val="24"/>
          <w:szCs w:val="24"/>
        </w:rPr>
        <w:t>(1)下达启动水源地应急预案的命令.</w:t>
      </w:r>
    </w:p>
    <w:p w14:paraId="0E3657D0">
      <w:pPr>
        <w:spacing w:before="187" w:line="219" w:lineRule="auto"/>
        <w:ind w:left="599"/>
        <w:rPr>
          <w:rFonts w:ascii="宋体" w:hAnsi="宋体" w:eastAsia="宋体" w:cs="宋体"/>
          <w:sz w:val="24"/>
          <w:szCs w:val="24"/>
        </w:rPr>
      </w:pPr>
      <w:r>
        <w:rPr>
          <w:rFonts w:ascii="宋体" w:hAnsi="宋体" w:eastAsia="宋体" w:cs="宋体"/>
          <w:sz w:val="24"/>
          <w:szCs w:val="24"/>
        </w:rPr>
        <w:t>(2) 通知现场应急指挥部中的有关单位和人员做好应急准备，进入待命状</w:t>
      </w:r>
    </w:p>
    <w:p w14:paraId="40BDAE45">
      <w:pPr>
        <w:spacing w:before="186" w:line="220" w:lineRule="auto"/>
        <w:rPr>
          <w:rFonts w:ascii="宋体" w:hAnsi="宋体" w:eastAsia="宋体" w:cs="宋体"/>
          <w:sz w:val="24"/>
          <w:szCs w:val="24"/>
        </w:rPr>
      </w:pPr>
      <w:r>
        <w:rPr>
          <w:rFonts w:ascii="宋体" w:hAnsi="宋体" w:eastAsia="宋体" w:cs="宋体"/>
          <w:color w:val="606070"/>
          <w:spacing w:val="-1"/>
          <w:sz w:val="24"/>
          <w:szCs w:val="24"/>
        </w:rPr>
        <w:t>态，必要时到达现场开展相关工作</w:t>
      </w:r>
    </w:p>
    <w:p w14:paraId="5E92C496">
      <w:pPr>
        <w:spacing w:before="193" w:line="286" w:lineRule="auto"/>
        <w:ind w:right="13" w:firstLine="599"/>
        <w:rPr>
          <w:rFonts w:ascii="宋体" w:hAnsi="宋体" w:eastAsia="宋体" w:cs="宋体"/>
          <w:sz w:val="24"/>
          <w:szCs w:val="24"/>
        </w:rPr>
      </w:pPr>
      <w:r>
        <w:rPr>
          <w:rFonts w:ascii="宋体" w:hAnsi="宋体" w:eastAsia="宋体" w:cs="宋体"/>
          <w:sz w:val="24"/>
          <w:szCs w:val="24"/>
        </w:rPr>
        <w:t xml:space="preserve">(3)通知水源地对应的供水单位进入待命状态，做好停止取水、深度处理、 </w:t>
      </w:r>
      <w:r>
        <w:rPr>
          <w:rFonts w:ascii="宋体" w:hAnsi="宋体" w:eastAsia="宋体" w:cs="宋体"/>
          <w:spacing w:val="-2"/>
          <w:sz w:val="24"/>
          <w:szCs w:val="24"/>
        </w:rPr>
        <w:t>低压供水或启动备用水源等准备。</w:t>
      </w:r>
    </w:p>
    <w:p w14:paraId="234162E1">
      <w:pPr>
        <w:spacing w:before="178" w:line="290" w:lineRule="auto"/>
        <w:ind w:right="123" w:firstLine="599"/>
        <w:rPr>
          <w:rFonts w:ascii="宋体" w:hAnsi="宋体" w:eastAsia="宋体" w:cs="宋体"/>
          <w:sz w:val="24"/>
          <w:szCs w:val="24"/>
        </w:rPr>
      </w:pPr>
      <w:r>
        <w:rPr>
          <w:rFonts w:ascii="宋体" w:hAnsi="宋体" w:eastAsia="宋体" w:cs="宋体"/>
          <w:spacing w:val="-1"/>
          <w:sz w:val="24"/>
          <w:szCs w:val="24"/>
        </w:rPr>
        <w:t>(4)</w:t>
      </w:r>
      <w:r>
        <w:rPr>
          <w:rFonts w:ascii="宋体" w:hAnsi="宋体" w:eastAsia="宋体" w:cs="宋体"/>
          <w:spacing w:val="42"/>
          <w:sz w:val="24"/>
          <w:szCs w:val="24"/>
        </w:rPr>
        <w:t xml:space="preserve"> </w:t>
      </w:r>
      <w:r>
        <w:rPr>
          <w:rFonts w:ascii="宋体" w:hAnsi="宋体" w:eastAsia="宋体" w:cs="宋体"/>
          <w:spacing w:val="-1"/>
          <w:sz w:val="24"/>
          <w:szCs w:val="24"/>
        </w:rPr>
        <w:t>加强信息监控，核实突发环境事件污染来源、进入水体的污染物种类</w:t>
      </w:r>
      <w:r>
        <w:rPr>
          <w:rFonts w:ascii="宋体" w:hAnsi="宋体" w:eastAsia="宋体" w:cs="宋体"/>
          <w:sz w:val="24"/>
          <w:szCs w:val="24"/>
        </w:rPr>
        <w:t xml:space="preserve"> </w:t>
      </w:r>
      <w:r>
        <w:rPr>
          <w:rFonts w:ascii="宋体" w:hAnsi="宋体" w:eastAsia="宋体" w:cs="宋体"/>
          <w:spacing w:val="-3"/>
          <w:sz w:val="24"/>
          <w:szCs w:val="24"/>
        </w:rPr>
        <w:t>和总量、污染扩散范围等信息。</w:t>
      </w:r>
    </w:p>
    <w:p w14:paraId="104B6AA2">
      <w:pPr>
        <w:spacing w:before="185" w:line="219" w:lineRule="auto"/>
        <w:ind w:left="599"/>
        <w:rPr>
          <w:rFonts w:ascii="宋体" w:hAnsi="宋体" w:eastAsia="宋体" w:cs="宋体"/>
          <w:sz w:val="24"/>
          <w:szCs w:val="24"/>
        </w:rPr>
      </w:pPr>
      <w:r>
        <w:rPr>
          <w:rFonts w:ascii="宋体" w:hAnsi="宋体" w:eastAsia="宋体" w:cs="宋体"/>
          <w:spacing w:val="5"/>
          <w:sz w:val="24"/>
          <w:szCs w:val="24"/>
        </w:rPr>
        <w:t>(5)开展应急监测或做好应急监测准备。</w:t>
      </w:r>
    </w:p>
    <w:p w14:paraId="02DD4614">
      <w:pPr>
        <w:spacing w:line="219" w:lineRule="auto"/>
        <w:rPr>
          <w:rFonts w:ascii="宋体" w:hAnsi="宋体" w:eastAsia="宋体" w:cs="宋体"/>
          <w:sz w:val="24"/>
          <w:szCs w:val="24"/>
        </w:rPr>
        <w:sectPr>
          <w:footerReference r:id="rId26" w:type="default"/>
          <w:pgSz w:w="11910" w:h="16850"/>
          <w:pgMar w:top="1432" w:right="1786" w:bottom="1322" w:left="1710" w:header="0" w:footer="1187" w:gutter="0"/>
          <w:cols w:space="720" w:num="1"/>
        </w:sectPr>
      </w:pPr>
    </w:p>
    <w:p w14:paraId="5FA605FA">
      <w:pPr>
        <w:spacing w:before="48" w:line="219" w:lineRule="auto"/>
        <w:ind w:left="600"/>
        <w:rPr>
          <w:rFonts w:ascii="宋体" w:hAnsi="宋体" w:eastAsia="宋体" w:cs="宋体"/>
          <w:sz w:val="24"/>
          <w:szCs w:val="24"/>
        </w:rPr>
      </w:pPr>
      <w:bookmarkStart w:id="44" w:name="bookmark82"/>
      <w:bookmarkEnd w:id="44"/>
      <w:r>
        <w:rPr>
          <w:rFonts w:ascii="宋体" w:hAnsi="宋体" w:eastAsia="宋体" w:cs="宋体"/>
          <w:spacing w:val="7"/>
          <w:sz w:val="24"/>
          <w:szCs w:val="24"/>
        </w:rPr>
        <w:t>(6)做好事件信息上报和通报。</w:t>
      </w:r>
    </w:p>
    <w:p w14:paraId="7A743DBA">
      <w:pPr>
        <w:spacing w:before="195" w:line="219" w:lineRule="auto"/>
        <w:ind w:left="600"/>
        <w:rPr>
          <w:rFonts w:ascii="宋体" w:hAnsi="宋体" w:eastAsia="宋体" w:cs="宋体"/>
          <w:sz w:val="24"/>
          <w:szCs w:val="24"/>
        </w:rPr>
      </w:pPr>
      <w:r>
        <w:rPr>
          <w:rFonts w:ascii="宋体" w:hAnsi="宋体" w:eastAsia="宋体" w:cs="宋体"/>
          <w:spacing w:val="5"/>
          <w:sz w:val="24"/>
          <w:szCs w:val="24"/>
        </w:rPr>
        <w:t>(7)调集所需应急物资和设备，做好应急保障。</w:t>
      </w:r>
    </w:p>
    <w:p w14:paraId="77BEE4C9">
      <w:pPr>
        <w:spacing w:before="173" w:line="218" w:lineRule="auto"/>
        <w:ind w:left="600"/>
        <w:rPr>
          <w:rFonts w:ascii="宋体" w:hAnsi="宋体" w:eastAsia="宋体" w:cs="宋体"/>
          <w:sz w:val="24"/>
          <w:szCs w:val="24"/>
        </w:rPr>
      </w:pPr>
      <w:r>
        <w:rPr>
          <w:rFonts w:ascii="宋体" w:hAnsi="宋体" w:eastAsia="宋体" w:cs="宋体"/>
          <w:spacing w:val="6"/>
          <w:sz w:val="24"/>
          <w:szCs w:val="24"/>
        </w:rPr>
        <w:t>(8)在危险区域设置提示或警告标志。</w:t>
      </w:r>
    </w:p>
    <w:p w14:paraId="268DA9B8">
      <w:pPr>
        <w:spacing w:before="197" w:line="219" w:lineRule="auto"/>
        <w:ind w:left="600"/>
        <w:rPr>
          <w:rFonts w:ascii="宋体" w:hAnsi="宋体" w:eastAsia="宋体" w:cs="宋体"/>
          <w:sz w:val="24"/>
          <w:szCs w:val="24"/>
        </w:rPr>
      </w:pPr>
      <w:r>
        <w:rPr>
          <w:rFonts w:ascii="宋体" w:hAnsi="宋体" w:eastAsia="宋体" w:cs="宋体"/>
          <w:spacing w:val="5"/>
          <w:sz w:val="24"/>
          <w:szCs w:val="24"/>
        </w:rPr>
        <w:t>(9)必要时，及时通过媒体向公众发布信息。</w:t>
      </w:r>
    </w:p>
    <w:p w14:paraId="4D2CFF6F">
      <w:pPr>
        <w:spacing w:before="167" w:line="220" w:lineRule="auto"/>
        <w:ind w:left="600"/>
        <w:rPr>
          <w:rFonts w:ascii="宋体" w:hAnsi="宋体" w:eastAsia="宋体" w:cs="宋体"/>
          <w:sz w:val="24"/>
          <w:szCs w:val="24"/>
        </w:rPr>
      </w:pPr>
      <w:r>
        <w:rPr>
          <w:rFonts w:ascii="宋体" w:hAnsi="宋体" w:eastAsia="宋体" w:cs="宋体"/>
          <w:spacing w:val="5"/>
          <w:sz w:val="24"/>
          <w:szCs w:val="24"/>
        </w:rPr>
        <w:t>(10)加强舆情监测、引导和应对工作。</w:t>
      </w:r>
    </w:p>
    <w:p w14:paraId="5E8BFB2B">
      <w:pPr>
        <w:spacing w:before="259" w:line="219" w:lineRule="auto"/>
        <w:rPr>
          <w:rFonts w:ascii="宋体" w:hAnsi="宋体" w:eastAsia="宋体" w:cs="宋体"/>
          <w:sz w:val="24"/>
          <w:szCs w:val="24"/>
        </w:rPr>
      </w:pPr>
      <w:r>
        <w:rPr>
          <w:rFonts w:ascii="宋体" w:hAnsi="宋体" w:eastAsia="宋体" w:cs="宋体"/>
          <w:sz w:val="24"/>
          <w:szCs w:val="24"/>
        </w:rPr>
        <w:t>4.1.3.</w:t>
      </w:r>
      <w:r>
        <w:rPr>
          <w:rFonts w:ascii="宋体" w:hAnsi="宋体" w:eastAsia="宋体" w:cs="宋体"/>
          <w:b/>
          <w:bCs/>
          <w:sz w:val="24"/>
          <w:szCs w:val="24"/>
        </w:rPr>
        <w:t>4预警解除</w:t>
      </w:r>
    </w:p>
    <w:p w14:paraId="4A734495">
      <w:pPr>
        <w:spacing w:before="126" w:line="355" w:lineRule="auto"/>
        <w:ind w:right="33" w:firstLine="499"/>
        <w:jc w:val="both"/>
        <w:rPr>
          <w:rFonts w:ascii="宋体" w:hAnsi="宋体" w:eastAsia="宋体" w:cs="宋体"/>
          <w:sz w:val="24"/>
          <w:szCs w:val="24"/>
        </w:rPr>
      </w:pPr>
      <w:r>
        <w:rPr>
          <w:rFonts w:ascii="宋体" w:hAnsi="宋体" w:eastAsia="宋体" w:cs="宋体"/>
          <w:sz w:val="24"/>
          <w:szCs w:val="24"/>
        </w:rPr>
        <w:t>现场应急指挥部及其成员单位要密切关注事件进展情况，并依据现场调查、</w:t>
      </w:r>
      <w:r>
        <w:rPr>
          <w:rFonts w:ascii="宋体" w:hAnsi="宋体" w:eastAsia="宋体" w:cs="宋体"/>
          <w:spacing w:val="9"/>
          <w:sz w:val="24"/>
          <w:szCs w:val="24"/>
        </w:rPr>
        <w:t xml:space="preserve"> </w:t>
      </w:r>
      <w:r>
        <w:rPr>
          <w:rFonts w:ascii="宋体" w:hAnsi="宋体" w:eastAsia="宋体" w:cs="宋体"/>
          <w:spacing w:val="-2"/>
          <w:sz w:val="24"/>
          <w:szCs w:val="24"/>
        </w:rPr>
        <w:t>监测情况、污染事态变化情况和采取措施的效果，按照有关</w:t>
      </w:r>
      <w:r>
        <w:rPr>
          <w:rFonts w:ascii="宋体" w:hAnsi="宋体" w:eastAsia="宋体" w:cs="宋体"/>
          <w:spacing w:val="-3"/>
          <w:sz w:val="24"/>
          <w:szCs w:val="24"/>
        </w:rPr>
        <w:t>规定适时调整，发布</w:t>
      </w:r>
      <w:r>
        <w:rPr>
          <w:rFonts w:ascii="宋体" w:hAnsi="宋体" w:eastAsia="宋体" w:cs="宋体"/>
          <w:sz w:val="24"/>
          <w:szCs w:val="24"/>
        </w:rPr>
        <w:t xml:space="preserve">  </w:t>
      </w:r>
      <w:r>
        <w:rPr>
          <w:rFonts w:ascii="宋体" w:hAnsi="宋体" w:eastAsia="宋体" w:cs="宋体"/>
          <w:spacing w:val="-2"/>
          <w:sz w:val="24"/>
          <w:szCs w:val="24"/>
        </w:rPr>
        <w:t>预警级别。有事实证明不可能发生突发环境事件或风险已经解除时</w:t>
      </w:r>
      <w:r>
        <w:rPr>
          <w:rFonts w:ascii="宋体" w:hAnsi="宋体" w:eastAsia="宋体" w:cs="宋体"/>
          <w:spacing w:val="-3"/>
          <w:sz w:val="24"/>
          <w:szCs w:val="24"/>
        </w:rPr>
        <w:t>，现场应急指</w:t>
      </w:r>
      <w:r>
        <w:rPr>
          <w:rFonts w:ascii="宋体" w:hAnsi="宋体" w:eastAsia="宋体" w:cs="宋体"/>
          <w:sz w:val="24"/>
          <w:szCs w:val="24"/>
        </w:rPr>
        <w:t xml:space="preserve">  挥部方可宣布解除预警。</w:t>
      </w:r>
    </w:p>
    <w:p w14:paraId="1E00C1D4">
      <w:pPr>
        <w:spacing w:before="152" w:line="218" w:lineRule="auto"/>
        <w:outlineLvl w:val="1"/>
        <w:rPr>
          <w:rFonts w:ascii="宋体" w:hAnsi="宋体" w:eastAsia="宋体" w:cs="宋体"/>
          <w:sz w:val="28"/>
          <w:szCs w:val="28"/>
        </w:rPr>
      </w:pPr>
      <w:bookmarkStart w:id="45" w:name="bookmark32"/>
      <w:bookmarkEnd w:id="45"/>
      <w:r>
        <w:rPr>
          <w:rFonts w:ascii="宋体" w:hAnsi="宋体" w:eastAsia="宋体" w:cs="宋体"/>
          <w:spacing w:val="1"/>
          <w:sz w:val="28"/>
          <w:szCs w:val="28"/>
        </w:rPr>
        <w:t>4.</w:t>
      </w:r>
      <w:r>
        <w:rPr>
          <w:rFonts w:ascii="宋体" w:hAnsi="宋体" w:eastAsia="宋体" w:cs="宋体"/>
          <w:b/>
          <w:bCs/>
          <w:spacing w:val="1"/>
          <w:sz w:val="28"/>
          <w:szCs w:val="28"/>
        </w:rPr>
        <w:t>2信息报告与通报</w:t>
      </w:r>
    </w:p>
    <w:p w14:paraId="3B7088E1">
      <w:pPr>
        <w:spacing w:before="228" w:line="218" w:lineRule="auto"/>
        <w:outlineLvl w:val="2"/>
        <w:rPr>
          <w:rFonts w:ascii="宋体" w:hAnsi="宋体" w:eastAsia="宋体" w:cs="宋体"/>
          <w:sz w:val="24"/>
          <w:szCs w:val="24"/>
        </w:rPr>
      </w:pPr>
      <w:bookmarkStart w:id="46" w:name="bookmark33"/>
      <w:bookmarkEnd w:id="46"/>
      <w:r>
        <w:rPr>
          <w:rFonts w:ascii="宋体" w:hAnsi="宋体" w:eastAsia="宋体" w:cs="宋体"/>
          <w:spacing w:val="1"/>
          <w:sz w:val="24"/>
          <w:szCs w:val="24"/>
        </w:rPr>
        <w:t>4.2.</w:t>
      </w:r>
      <w:r>
        <w:rPr>
          <w:rFonts w:ascii="宋体" w:hAnsi="宋体" w:eastAsia="宋体" w:cs="宋体"/>
          <w:b/>
          <w:bCs/>
          <w:spacing w:val="1"/>
          <w:sz w:val="24"/>
          <w:szCs w:val="24"/>
        </w:rPr>
        <w:t>1信息报告程序</w:t>
      </w:r>
    </w:p>
    <w:p w14:paraId="0FEBD52F">
      <w:pPr>
        <w:spacing w:before="213" w:line="285" w:lineRule="auto"/>
        <w:ind w:right="133" w:firstLine="600"/>
        <w:rPr>
          <w:rFonts w:ascii="宋体" w:hAnsi="宋体" w:eastAsia="宋体" w:cs="宋体"/>
          <w:sz w:val="24"/>
          <w:szCs w:val="24"/>
        </w:rPr>
      </w:pPr>
      <w:r>
        <w:rPr>
          <w:rFonts w:ascii="宋体" w:hAnsi="宋体" w:eastAsia="宋体" w:cs="宋体"/>
          <w:spacing w:val="5"/>
          <w:sz w:val="24"/>
          <w:szCs w:val="24"/>
        </w:rPr>
        <w:t>(1)发现已经造成或可能造成水源地污染的有关人员和责任单位，应按照</w:t>
      </w:r>
      <w:r>
        <w:rPr>
          <w:rFonts w:ascii="宋体" w:hAnsi="宋体" w:eastAsia="宋体" w:cs="宋体"/>
          <w:spacing w:val="3"/>
          <w:sz w:val="24"/>
          <w:szCs w:val="24"/>
        </w:rPr>
        <w:t xml:space="preserve"> </w:t>
      </w:r>
      <w:r>
        <w:rPr>
          <w:rFonts w:ascii="宋体" w:hAnsi="宋体" w:eastAsia="宋体" w:cs="宋体"/>
          <w:sz w:val="24"/>
          <w:szCs w:val="24"/>
        </w:rPr>
        <w:t>有关规定立即向石拐区人民政府应急组织指挥机构及环境保护等部门报</w:t>
      </w:r>
      <w:r>
        <w:rPr>
          <w:rFonts w:ascii="宋体" w:hAnsi="宋体" w:eastAsia="宋体" w:cs="宋体"/>
          <w:spacing w:val="-1"/>
          <w:sz w:val="24"/>
          <w:szCs w:val="24"/>
        </w:rPr>
        <w:t>告。</w:t>
      </w:r>
    </w:p>
    <w:p w14:paraId="0404B93C">
      <w:pPr>
        <w:spacing w:before="179" w:line="308" w:lineRule="auto"/>
        <w:ind w:right="53" w:firstLine="600"/>
        <w:rPr>
          <w:rFonts w:ascii="宋体" w:hAnsi="宋体" w:eastAsia="宋体" w:cs="宋体"/>
          <w:sz w:val="24"/>
          <w:szCs w:val="24"/>
        </w:rPr>
      </w:pPr>
      <w:r>
        <w:rPr>
          <w:rFonts w:ascii="宋体" w:hAnsi="宋体" w:eastAsia="宋体" w:cs="宋体"/>
          <w:sz w:val="24"/>
          <w:szCs w:val="24"/>
        </w:rPr>
        <w:t>(2)石拐区人民政府及相关部门在发现或得知水源地突发环境事件信息后，</w:t>
      </w:r>
      <w:r>
        <w:rPr>
          <w:rFonts w:ascii="宋体" w:hAnsi="宋体" w:eastAsia="宋体" w:cs="宋体"/>
          <w:spacing w:val="8"/>
          <w:sz w:val="24"/>
          <w:szCs w:val="24"/>
        </w:rPr>
        <w:t xml:space="preserve"> </w:t>
      </w:r>
      <w:r>
        <w:rPr>
          <w:rFonts w:ascii="宋体" w:hAnsi="宋体" w:eastAsia="宋体" w:cs="宋体"/>
          <w:spacing w:val="-2"/>
          <w:sz w:val="24"/>
          <w:szCs w:val="24"/>
        </w:rPr>
        <w:t>应立即进行核实，了解有关情况。经过核实后，第一时间向石拐区人</w:t>
      </w:r>
      <w:r>
        <w:rPr>
          <w:rFonts w:ascii="宋体" w:hAnsi="宋体" w:eastAsia="宋体" w:cs="宋体"/>
          <w:spacing w:val="-3"/>
          <w:sz w:val="24"/>
          <w:szCs w:val="24"/>
        </w:rPr>
        <w:t>民政府应急</w:t>
      </w:r>
      <w:r>
        <w:rPr>
          <w:rFonts w:ascii="宋体" w:hAnsi="宋体" w:eastAsia="宋体" w:cs="宋体"/>
          <w:sz w:val="24"/>
          <w:szCs w:val="24"/>
        </w:rPr>
        <w:t xml:space="preserve"> </w:t>
      </w:r>
      <w:r>
        <w:rPr>
          <w:rFonts w:ascii="宋体" w:hAnsi="宋体" w:eastAsia="宋体" w:cs="宋体"/>
          <w:spacing w:val="-1"/>
          <w:sz w:val="24"/>
          <w:szCs w:val="24"/>
        </w:rPr>
        <w:t>组织指挥机构和包头市人民政府主管部门报告。</w:t>
      </w:r>
    </w:p>
    <w:p w14:paraId="1CB2B29F">
      <w:pPr>
        <w:spacing w:before="209" w:line="278" w:lineRule="auto"/>
        <w:ind w:right="156" w:firstLine="600"/>
        <w:rPr>
          <w:rFonts w:ascii="宋体" w:hAnsi="宋体" w:eastAsia="宋体" w:cs="宋体"/>
          <w:sz w:val="25"/>
          <w:szCs w:val="25"/>
        </w:rPr>
      </w:pPr>
      <w:r>
        <w:rPr>
          <w:rFonts w:ascii="宋体" w:hAnsi="宋体" w:eastAsia="宋体" w:cs="宋体"/>
          <w:spacing w:val="-5"/>
          <w:sz w:val="25"/>
          <w:szCs w:val="25"/>
        </w:rPr>
        <w:t>(3)包头市人民政府主管部门先于石拐区人民政府主管部门获悉</w:t>
      </w:r>
      <w:r>
        <w:rPr>
          <w:rFonts w:ascii="宋体" w:hAnsi="宋体" w:eastAsia="宋体" w:cs="宋体"/>
          <w:spacing w:val="-6"/>
          <w:sz w:val="25"/>
          <w:szCs w:val="25"/>
        </w:rPr>
        <w:t>水源地突</w:t>
      </w:r>
      <w:r>
        <w:rPr>
          <w:rFonts w:ascii="宋体" w:hAnsi="宋体" w:eastAsia="宋体" w:cs="宋体"/>
          <w:sz w:val="25"/>
          <w:szCs w:val="25"/>
        </w:rPr>
        <w:t xml:space="preserve"> </w:t>
      </w:r>
      <w:r>
        <w:rPr>
          <w:rFonts w:ascii="宋体" w:hAnsi="宋体" w:eastAsia="宋体" w:cs="宋体"/>
          <w:spacing w:val="-10"/>
          <w:sz w:val="25"/>
          <w:szCs w:val="25"/>
        </w:rPr>
        <w:t>发环境事件信息的，可要求石拐区人民政府主管部门核实并报告相应信息。</w:t>
      </w:r>
    </w:p>
    <w:p w14:paraId="05FCBC57">
      <w:pPr>
        <w:spacing w:before="196" w:line="308" w:lineRule="auto"/>
        <w:ind w:right="135" w:firstLine="600"/>
        <w:rPr>
          <w:rFonts w:ascii="宋体" w:hAnsi="宋体" w:eastAsia="宋体" w:cs="宋体"/>
          <w:sz w:val="24"/>
          <w:szCs w:val="24"/>
        </w:rPr>
      </w:pPr>
      <w:r>
        <w:rPr>
          <w:rFonts w:ascii="宋体" w:hAnsi="宋体" w:eastAsia="宋体" w:cs="宋体"/>
          <w:spacing w:val="5"/>
          <w:sz w:val="24"/>
          <w:szCs w:val="24"/>
        </w:rPr>
        <w:t>(4)特殊情况下，若遇到敏感事件或发生在重点地区、特殊时期</w:t>
      </w:r>
      <w:r>
        <w:rPr>
          <w:rFonts w:ascii="宋体" w:hAnsi="宋体" w:eastAsia="宋体" w:cs="宋体"/>
          <w:spacing w:val="4"/>
          <w:sz w:val="24"/>
          <w:szCs w:val="24"/>
        </w:rPr>
        <w:t>，或可能</w:t>
      </w:r>
      <w:r>
        <w:rPr>
          <w:rFonts w:ascii="宋体" w:hAnsi="宋体" w:eastAsia="宋体" w:cs="宋体"/>
          <w:sz w:val="24"/>
          <w:szCs w:val="24"/>
        </w:rPr>
        <w:t xml:space="preserve"> </w:t>
      </w:r>
      <w:r>
        <w:rPr>
          <w:rFonts w:ascii="宋体" w:hAnsi="宋体" w:eastAsia="宋体" w:cs="宋体"/>
          <w:spacing w:val="-2"/>
          <w:sz w:val="24"/>
          <w:szCs w:val="24"/>
        </w:rPr>
        <w:t>演化为重大、特别重大突发环境事件的信息，有关责任单位和部门应立</w:t>
      </w:r>
      <w:r>
        <w:rPr>
          <w:rFonts w:ascii="宋体" w:hAnsi="宋体" w:eastAsia="宋体" w:cs="宋体"/>
          <w:spacing w:val="-3"/>
          <w:sz w:val="24"/>
          <w:szCs w:val="24"/>
        </w:rPr>
        <w:t>即向石拐</w:t>
      </w:r>
      <w:r>
        <w:rPr>
          <w:rFonts w:ascii="宋体" w:hAnsi="宋体" w:eastAsia="宋体" w:cs="宋体"/>
          <w:sz w:val="24"/>
          <w:szCs w:val="24"/>
        </w:rPr>
        <w:t xml:space="preserve"> </w:t>
      </w:r>
      <w:r>
        <w:rPr>
          <w:rFonts w:ascii="宋体" w:hAnsi="宋体" w:eastAsia="宋体" w:cs="宋体"/>
          <w:spacing w:val="-3"/>
          <w:sz w:val="24"/>
          <w:szCs w:val="24"/>
        </w:rPr>
        <w:t>区人民政府应急组织指挥机构报告。</w:t>
      </w:r>
    </w:p>
    <w:p w14:paraId="6F42A655">
      <w:pPr>
        <w:spacing w:before="208" w:line="278" w:lineRule="auto"/>
        <w:ind w:right="143" w:firstLine="600"/>
        <w:rPr>
          <w:rFonts w:ascii="宋体" w:hAnsi="宋体" w:eastAsia="宋体" w:cs="宋体"/>
          <w:sz w:val="24"/>
          <w:szCs w:val="24"/>
        </w:rPr>
      </w:pPr>
      <w:r>
        <w:rPr>
          <w:rFonts w:ascii="宋体" w:hAnsi="宋体" w:eastAsia="宋体" w:cs="宋体"/>
          <w:spacing w:val="5"/>
          <w:sz w:val="24"/>
          <w:szCs w:val="24"/>
        </w:rPr>
        <w:t>(5)水源地突发环境事件处置过程中事件级别发生变化的，</w:t>
      </w:r>
      <w:r>
        <w:rPr>
          <w:rFonts w:ascii="宋体" w:hAnsi="宋体" w:eastAsia="宋体" w:cs="宋体"/>
          <w:spacing w:val="4"/>
          <w:sz w:val="24"/>
          <w:szCs w:val="24"/>
        </w:rPr>
        <w:t>应当按照变化</w:t>
      </w:r>
      <w:r>
        <w:rPr>
          <w:rFonts w:ascii="宋体" w:hAnsi="宋体" w:eastAsia="宋体" w:cs="宋体"/>
          <w:sz w:val="24"/>
          <w:szCs w:val="24"/>
        </w:rPr>
        <w:t xml:space="preserve"> </w:t>
      </w:r>
      <w:r>
        <w:rPr>
          <w:rFonts w:ascii="宋体" w:hAnsi="宋体" w:eastAsia="宋体" w:cs="宋体"/>
          <w:spacing w:val="-2"/>
          <w:sz w:val="24"/>
          <w:szCs w:val="24"/>
        </w:rPr>
        <w:t>后的级别报告信息。</w:t>
      </w:r>
    </w:p>
    <w:p w14:paraId="2165A13F">
      <w:pPr>
        <w:spacing w:before="166" w:line="219" w:lineRule="auto"/>
        <w:ind w:left="3"/>
        <w:rPr>
          <w:rFonts w:ascii="宋体" w:hAnsi="宋体" w:eastAsia="宋体" w:cs="宋体"/>
          <w:sz w:val="26"/>
          <w:szCs w:val="26"/>
        </w:rPr>
      </w:pPr>
      <w:r>
        <w:rPr>
          <w:rFonts w:ascii="宋体" w:hAnsi="宋体" w:eastAsia="宋体" w:cs="宋体"/>
          <w:b/>
          <w:bCs/>
          <w:spacing w:val="-15"/>
          <w:sz w:val="26"/>
          <w:szCs w:val="26"/>
        </w:rPr>
        <w:t>4.2.2信息通报程序</w:t>
      </w:r>
    </w:p>
    <w:p w14:paraId="1F85C255">
      <w:pPr>
        <w:spacing w:before="220" w:line="356" w:lineRule="auto"/>
        <w:ind w:right="33" w:firstLine="499"/>
        <w:jc w:val="both"/>
        <w:rPr>
          <w:rFonts w:ascii="宋体" w:hAnsi="宋体" w:eastAsia="宋体" w:cs="宋体"/>
          <w:sz w:val="24"/>
          <w:szCs w:val="24"/>
        </w:rPr>
      </w:pPr>
      <w:r>
        <w:rPr>
          <w:rFonts w:ascii="宋体" w:hAnsi="宋体" w:eastAsia="宋体" w:cs="宋体"/>
          <w:color w:val="606070"/>
          <w:spacing w:val="1"/>
          <w:sz w:val="24"/>
          <w:szCs w:val="24"/>
        </w:rPr>
        <w:t>对经核实的水源地突发环境事件应立</w:t>
      </w:r>
      <w:r>
        <w:rPr>
          <w:rFonts w:ascii="宋体" w:hAnsi="宋体" w:eastAsia="宋体" w:cs="宋体"/>
          <w:spacing w:val="1"/>
          <w:sz w:val="24"/>
          <w:szCs w:val="24"/>
        </w:rPr>
        <w:t>即向石拐区人民政府及包头市生态环</w:t>
      </w:r>
      <w:r>
        <w:rPr>
          <w:rFonts w:ascii="宋体" w:hAnsi="宋体" w:eastAsia="宋体" w:cs="宋体"/>
          <w:sz w:val="24"/>
          <w:szCs w:val="24"/>
        </w:rPr>
        <w:t xml:space="preserve">  </w:t>
      </w:r>
      <w:r>
        <w:rPr>
          <w:rFonts w:ascii="宋体" w:hAnsi="宋体" w:eastAsia="宋体" w:cs="宋体"/>
          <w:spacing w:val="-6"/>
          <w:sz w:val="24"/>
          <w:szCs w:val="24"/>
        </w:rPr>
        <w:t>境局石拐区分局、石拐区住建局、石拐区农牧局、石拐区卫健委等相关部门报告。</w:t>
      </w:r>
      <w:r>
        <w:rPr>
          <w:rFonts w:ascii="宋体" w:hAnsi="宋体" w:eastAsia="宋体" w:cs="宋体"/>
          <w:spacing w:val="4"/>
          <w:sz w:val="24"/>
          <w:szCs w:val="24"/>
        </w:rPr>
        <w:t xml:space="preserve"> </w:t>
      </w:r>
      <w:r>
        <w:rPr>
          <w:rFonts w:ascii="宋体" w:hAnsi="宋体" w:eastAsia="宋体" w:cs="宋体"/>
          <w:spacing w:val="-2"/>
          <w:sz w:val="24"/>
          <w:szCs w:val="24"/>
        </w:rPr>
        <w:t>当发生火灾爆炸事故可能危及水源地时，同时还应通报石拐区应急管理</w:t>
      </w:r>
      <w:r>
        <w:rPr>
          <w:rFonts w:ascii="宋体" w:hAnsi="宋体" w:eastAsia="宋体" w:cs="宋体"/>
          <w:spacing w:val="-3"/>
          <w:sz w:val="24"/>
          <w:szCs w:val="24"/>
        </w:rPr>
        <w:t>局、石拐</w:t>
      </w:r>
      <w:r>
        <w:rPr>
          <w:rFonts w:ascii="宋体" w:hAnsi="宋体" w:eastAsia="宋体" w:cs="宋体"/>
          <w:sz w:val="24"/>
          <w:szCs w:val="24"/>
        </w:rPr>
        <w:t xml:space="preserve">  </w:t>
      </w:r>
      <w:r>
        <w:rPr>
          <w:rFonts w:ascii="宋体" w:hAnsi="宋体" w:eastAsia="宋体" w:cs="宋体"/>
          <w:spacing w:val="-2"/>
          <w:sz w:val="24"/>
          <w:szCs w:val="24"/>
        </w:rPr>
        <w:t>区消防大队、石拐区公安局。当发生交通事故，可能引发危</w:t>
      </w:r>
      <w:r>
        <w:rPr>
          <w:rFonts w:ascii="宋体" w:hAnsi="宋体" w:eastAsia="宋体" w:cs="宋体"/>
          <w:spacing w:val="-3"/>
          <w:sz w:val="24"/>
          <w:szCs w:val="24"/>
        </w:rPr>
        <w:t>险化学品泄漏，污染</w:t>
      </w:r>
    </w:p>
    <w:p w14:paraId="01D5422D">
      <w:pPr>
        <w:spacing w:line="356" w:lineRule="auto"/>
        <w:rPr>
          <w:rFonts w:ascii="宋体" w:hAnsi="宋体" w:eastAsia="宋体" w:cs="宋体"/>
          <w:sz w:val="24"/>
          <w:szCs w:val="24"/>
        </w:rPr>
        <w:sectPr>
          <w:footerReference r:id="rId27" w:type="default"/>
          <w:pgSz w:w="11910" w:h="16850"/>
          <w:pgMar w:top="1331" w:right="1786" w:bottom="1528" w:left="1660" w:header="0" w:footer="1296" w:gutter="0"/>
          <w:cols w:space="720" w:num="1"/>
        </w:sectPr>
      </w:pPr>
    </w:p>
    <w:p w14:paraId="6900241B">
      <w:pPr>
        <w:spacing w:before="187" w:line="219" w:lineRule="auto"/>
        <w:rPr>
          <w:rFonts w:ascii="宋体" w:hAnsi="宋体" w:eastAsia="宋体" w:cs="宋体"/>
          <w:sz w:val="24"/>
          <w:szCs w:val="24"/>
        </w:rPr>
      </w:pPr>
      <w:bookmarkStart w:id="47" w:name="bookmark83"/>
      <w:bookmarkEnd w:id="47"/>
      <w:r>
        <w:rPr>
          <w:rFonts w:ascii="宋体" w:hAnsi="宋体" w:eastAsia="宋体" w:cs="宋体"/>
          <w:spacing w:val="-1"/>
          <w:sz w:val="24"/>
          <w:szCs w:val="24"/>
        </w:rPr>
        <w:t>水源地时，同时通报石拐区农牧局和石拐区公安局。</w:t>
      </w:r>
    </w:p>
    <w:p w14:paraId="68F2F21B">
      <w:pPr>
        <w:spacing w:before="183" w:line="219" w:lineRule="auto"/>
        <w:ind w:left="469"/>
        <w:rPr>
          <w:rFonts w:ascii="宋体" w:hAnsi="宋体" w:eastAsia="宋体" w:cs="宋体"/>
          <w:sz w:val="24"/>
          <w:szCs w:val="24"/>
        </w:rPr>
      </w:pPr>
      <w:r>
        <w:rPr>
          <w:rFonts w:ascii="宋体" w:hAnsi="宋体" w:eastAsia="宋体" w:cs="宋体"/>
          <w:spacing w:val="-2"/>
          <w:sz w:val="24"/>
          <w:szCs w:val="24"/>
        </w:rPr>
        <w:t>水源地突发环境事件已经或可能影响相邻行政区域</w:t>
      </w:r>
      <w:r>
        <w:rPr>
          <w:rFonts w:ascii="宋体" w:hAnsi="宋体" w:eastAsia="宋体" w:cs="宋体"/>
          <w:spacing w:val="-3"/>
          <w:sz w:val="24"/>
          <w:szCs w:val="24"/>
        </w:rPr>
        <w:t>的，石拐区人民政府及有</w:t>
      </w:r>
    </w:p>
    <w:p w14:paraId="758AAF3A">
      <w:pPr>
        <w:spacing w:before="185" w:line="219" w:lineRule="auto"/>
        <w:rPr>
          <w:rFonts w:ascii="宋体" w:hAnsi="宋体" w:eastAsia="宋体" w:cs="宋体"/>
          <w:sz w:val="24"/>
          <w:szCs w:val="24"/>
        </w:rPr>
      </w:pPr>
      <w:r>
        <w:rPr>
          <w:rFonts w:ascii="宋体" w:hAnsi="宋体" w:eastAsia="宋体" w:cs="宋体"/>
          <w:color w:val="607070"/>
          <w:spacing w:val="-1"/>
          <w:sz w:val="24"/>
          <w:szCs w:val="24"/>
        </w:rPr>
        <w:t>关部门应及时通报相邻区域同级人民政府及有关部门。</w:t>
      </w:r>
    </w:p>
    <w:p w14:paraId="0066AB44">
      <w:pPr>
        <w:spacing w:before="184" w:line="218" w:lineRule="auto"/>
        <w:ind w:left="469"/>
        <w:rPr>
          <w:rFonts w:ascii="宋体" w:hAnsi="宋体" w:eastAsia="宋体" w:cs="宋体"/>
          <w:sz w:val="24"/>
          <w:szCs w:val="24"/>
        </w:rPr>
      </w:pPr>
      <w:r>
        <w:rPr>
          <w:rFonts w:ascii="宋体" w:hAnsi="宋体" w:eastAsia="宋体" w:cs="宋体"/>
          <w:color w:val="607070"/>
          <w:spacing w:val="3"/>
          <w:sz w:val="24"/>
          <w:szCs w:val="24"/>
        </w:rPr>
        <w:t>4.2.3信息报告与通报内容</w:t>
      </w:r>
    </w:p>
    <w:p w14:paraId="094877C3">
      <w:pPr>
        <w:spacing w:before="184" w:line="355" w:lineRule="auto"/>
        <w:ind w:right="3" w:firstLine="469"/>
        <w:jc w:val="both"/>
        <w:rPr>
          <w:rFonts w:ascii="宋体" w:hAnsi="宋体" w:eastAsia="宋体" w:cs="宋体"/>
          <w:sz w:val="24"/>
          <w:szCs w:val="24"/>
        </w:rPr>
      </w:pPr>
      <w:r>
        <w:rPr>
          <w:rFonts w:ascii="宋体" w:hAnsi="宋体" w:eastAsia="宋体" w:cs="宋体"/>
          <w:spacing w:val="-2"/>
          <w:sz w:val="24"/>
          <w:szCs w:val="24"/>
        </w:rPr>
        <w:t>按照不同的时间节点，水源地突发环境事件报告分</w:t>
      </w:r>
      <w:r>
        <w:rPr>
          <w:rFonts w:ascii="宋体" w:hAnsi="宋体" w:eastAsia="宋体" w:cs="宋体"/>
          <w:spacing w:val="-3"/>
          <w:sz w:val="24"/>
          <w:szCs w:val="24"/>
        </w:rPr>
        <w:t>为初报、续报和处理结果</w:t>
      </w:r>
      <w:r>
        <w:rPr>
          <w:rFonts w:ascii="宋体" w:hAnsi="宋体" w:eastAsia="宋体" w:cs="宋体"/>
          <w:sz w:val="24"/>
          <w:szCs w:val="24"/>
        </w:rPr>
        <w:t xml:space="preserve">  </w:t>
      </w:r>
      <w:r>
        <w:rPr>
          <w:rFonts w:ascii="宋体" w:hAnsi="宋体" w:eastAsia="宋体" w:cs="宋体"/>
          <w:spacing w:val="-6"/>
          <w:sz w:val="24"/>
          <w:szCs w:val="24"/>
        </w:rPr>
        <w:t>报告。初报是发现或得知突发环境事件后的首次报告；续报是查清有</w:t>
      </w:r>
      <w:r>
        <w:rPr>
          <w:rFonts w:ascii="宋体" w:hAnsi="宋体" w:eastAsia="宋体" w:cs="宋体"/>
          <w:spacing w:val="-7"/>
          <w:sz w:val="24"/>
          <w:szCs w:val="24"/>
        </w:rPr>
        <w:t>关基本情况、</w:t>
      </w:r>
      <w:r>
        <w:rPr>
          <w:rFonts w:ascii="宋体" w:hAnsi="宋体" w:eastAsia="宋体" w:cs="宋体"/>
          <w:sz w:val="24"/>
          <w:szCs w:val="24"/>
        </w:rPr>
        <w:t xml:space="preserve"> </w:t>
      </w:r>
      <w:r>
        <w:rPr>
          <w:rFonts w:ascii="宋体" w:hAnsi="宋体" w:eastAsia="宋体" w:cs="宋体"/>
          <w:spacing w:val="-2"/>
          <w:sz w:val="24"/>
          <w:szCs w:val="24"/>
        </w:rPr>
        <w:t>事件发展情况后的报告，可随时报告；</w:t>
      </w:r>
      <w:r>
        <w:rPr>
          <w:rFonts w:ascii="宋体" w:hAnsi="宋体" w:eastAsia="宋体" w:cs="宋体"/>
          <w:color w:val="607070"/>
          <w:spacing w:val="-2"/>
          <w:sz w:val="24"/>
          <w:szCs w:val="24"/>
        </w:rPr>
        <w:t>处理结果</w:t>
      </w:r>
      <w:r>
        <w:rPr>
          <w:rFonts w:ascii="宋体" w:hAnsi="宋体" w:eastAsia="宋体" w:cs="宋体"/>
          <w:color w:val="607070"/>
          <w:spacing w:val="-3"/>
          <w:sz w:val="24"/>
          <w:szCs w:val="24"/>
        </w:rPr>
        <w:t>报告是突发环境事件处理完毕后</w:t>
      </w:r>
      <w:r>
        <w:rPr>
          <w:rFonts w:ascii="宋体" w:hAnsi="宋体" w:eastAsia="宋体" w:cs="宋体"/>
          <w:color w:val="607070"/>
          <w:sz w:val="24"/>
          <w:szCs w:val="24"/>
        </w:rPr>
        <w:t xml:space="preserve">  </w:t>
      </w:r>
      <w:r>
        <w:rPr>
          <w:rFonts w:ascii="宋体" w:hAnsi="宋体" w:eastAsia="宋体" w:cs="宋体"/>
          <w:spacing w:val="-6"/>
          <w:sz w:val="24"/>
          <w:szCs w:val="24"/>
        </w:rPr>
        <w:t>的报告。</w:t>
      </w:r>
    </w:p>
    <w:p w14:paraId="42BD4D73">
      <w:pPr>
        <w:spacing w:before="39" w:line="322" w:lineRule="auto"/>
        <w:ind w:right="110" w:firstLine="609"/>
        <w:rPr>
          <w:rFonts w:ascii="宋体" w:hAnsi="宋体" w:eastAsia="宋体" w:cs="宋体"/>
          <w:sz w:val="24"/>
          <w:szCs w:val="24"/>
        </w:rPr>
      </w:pPr>
      <w:r>
        <w:rPr>
          <w:rFonts w:ascii="宋体" w:hAnsi="宋体" w:eastAsia="宋体" w:cs="宋体"/>
          <w:spacing w:val="4"/>
          <w:sz w:val="24"/>
          <w:szCs w:val="24"/>
        </w:rPr>
        <w:t>(1)初报应报告水源地突发环境事件的发生时间、地点、信息来源、事件</w:t>
      </w:r>
      <w:r>
        <w:rPr>
          <w:rFonts w:ascii="宋体" w:hAnsi="宋体" w:eastAsia="宋体" w:cs="宋体"/>
          <w:spacing w:val="7"/>
          <w:sz w:val="24"/>
          <w:szCs w:val="24"/>
        </w:rPr>
        <w:t xml:space="preserve"> </w:t>
      </w:r>
      <w:r>
        <w:rPr>
          <w:rFonts w:ascii="宋体" w:hAnsi="宋体" w:eastAsia="宋体" w:cs="宋体"/>
          <w:spacing w:val="-3"/>
          <w:sz w:val="24"/>
          <w:szCs w:val="24"/>
        </w:rPr>
        <w:t>起因和性质、基本过程、主要污染物和数量、监测结果、人员伤亡情况、水源地</w:t>
      </w:r>
      <w:r>
        <w:rPr>
          <w:rFonts w:ascii="宋体" w:hAnsi="宋体" w:eastAsia="宋体" w:cs="宋体"/>
          <w:spacing w:val="13"/>
          <w:sz w:val="24"/>
          <w:szCs w:val="24"/>
        </w:rPr>
        <w:t xml:space="preserve"> </w:t>
      </w:r>
      <w:r>
        <w:rPr>
          <w:rFonts w:ascii="宋体" w:hAnsi="宋体" w:eastAsia="宋体" w:cs="宋体"/>
          <w:spacing w:val="-3"/>
          <w:sz w:val="24"/>
          <w:szCs w:val="24"/>
        </w:rPr>
        <w:t>受影响情况、事件发展趋势、处置情况、拟采取的措施以及下一步工作建议等初</w:t>
      </w:r>
      <w:r>
        <w:rPr>
          <w:rFonts w:ascii="宋体" w:hAnsi="宋体" w:eastAsia="宋体" w:cs="宋体"/>
          <w:spacing w:val="17"/>
          <w:sz w:val="24"/>
          <w:szCs w:val="24"/>
        </w:rPr>
        <w:t xml:space="preserve"> </w:t>
      </w:r>
      <w:r>
        <w:rPr>
          <w:rFonts w:ascii="宋体" w:hAnsi="宋体" w:eastAsia="宋体" w:cs="宋体"/>
          <w:spacing w:val="-9"/>
          <w:sz w:val="24"/>
          <w:szCs w:val="24"/>
        </w:rPr>
        <w:t>步情况。</w:t>
      </w:r>
    </w:p>
    <w:p w14:paraId="62C17E33">
      <w:pPr>
        <w:spacing w:before="183" w:line="218" w:lineRule="auto"/>
        <w:ind w:left="609"/>
        <w:rPr>
          <w:rFonts w:ascii="宋体" w:hAnsi="宋体" w:eastAsia="宋体" w:cs="宋体"/>
          <w:sz w:val="24"/>
          <w:szCs w:val="24"/>
        </w:rPr>
      </w:pPr>
      <w:r>
        <w:rPr>
          <w:rFonts w:ascii="宋体" w:hAnsi="宋体" w:eastAsia="宋体" w:cs="宋体"/>
          <w:spacing w:val="-2"/>
          <w:sz w:val="24"/>
          <w:szCs w:val="24"/>
        </w:rPr>
        <w:t>(2)</w:t>
      </w:r>
      <w:r>
        <w:rPr>
          <w:rFonts w:ascii="宋体" w:hAnsi="宋体" w:eastAsia="宋体" w:cs="宋体"/>
          <w:spacing w:val="41"/>
          <w:sz w:val="24"/>
          <w:szCs w:val="24"/>
        </w:rPr>
        <w:t xml:space="preserve"> </w:t>
      </w:r>
      <w:r>
        <w:rPr>
          <w:rFonts w:ascii="宋体" w:hAnsi="宋体" w:eastAsia="宋体" w:cs="宋体"/>
          <w:spacing w:val="-2"/>
          <w:sz w:val="24"/>
          <w:szCs w:val="24"/>
        </w:rPr>
        <w:t>续报应在初报的基础上，报告事件及有关处置措施的进展情况。</w:t>
      </w:r>
    </w:p>
    <w:p w14:paraId="426369DE">
      <w:pPr>
        <w:spacing w:before="188" w:line="333" w:lineRule="auto"/>
        <w:ind w:right="103" w:firstLine="609"/>
        <w:rPr>
          <w:rFonts w:ascii="宋体" w:hAnsi="宋体" w:eastAsia="宋体" w:cs="宋体"/>
          <w:sz w:val="24"/>
          <w:szCs w:val="24"/>
        </w:rPr>
      </w:pPr>
      <w:r>
        <w:rPr>
          <w:rFonts w:ascii="宋体" w:hAnsi="宋体" w:eastAsia="宋体" w:cs="宋体"/>
          <w:spacing w:val="4"/>
          <w:sz w:val="24"/>
          <w:szCs w:val="24"/>
        </w:rPr>
        <w:t>(3)处理结果报告应在初报、续报的基础上，报告突发环境事件的处置措</w:t>
      </w:r>
      <w:r>
        <w:rPr>
          <w:rFonts w:ascii="宋体" w:hAnsi="宋体" w:eastAsia="宋体" w:cs="宋体"/>
          <w:spacing w:val="9"/>
          <w:sz w:val="24"/>
          <w:szCs w:val="24"/>
        </w:rPr>
        <w:t xml:space="preserve"> </w:t>
      </w:r>
      <w:r>
        <w:rPr>
          <w:rFonts w:ascii="宋体" w:hAnsi="宋体" w:eastAsia="宋体" w:cs="宋体"/>
          <w:spacing w:val="-3"/>
          <w:sz w:val="24"/>
          <w:szCs w:val="24"/>
        </w:rPr>
        <w:t>施、过程和结果等详细情况。采用传真、网络、邮寄或面呈等方式书面报告，情</w:t>
      </w:r>
      <w:r>
        <w:rPr>
          <w:rFonts w:ascii="宋体" w:hAnsi="宋体" w:eastAsia="宋体" w:cs="宋体"/>
          <w:spacing w:val="15"/>
          <w:sz w:val="24"/>
          <w:szCs w:val="24"/>
        </w:rPr>
        <w:t xml:space="preserve"> </w:t>
      </w:r>
      <w:r>
        <w:rPr>
          <w:rFonts w:ascii="宋体" w:hAnsi="宋体" w:eastAsia="宋体" w:cs="宋体"/>
          <w:spacing w:val="-3"/>
          <w:sz w:val="24"/>
          <w:szCs w:val="24"/>
        </w:rPr>
        <w:t>况紧急时，可通过电话报告，但应及时补充书面报告。书面报告应说明突发环境</w:t>
      </w:r>
      <w:r>
        <w:rPr>
          <w:rFonts w:ascii="宋体" w:hAnsi="宋体" w:eastAsia="宋体" w:cs="宋体"/>
          <w:spacing w:val="14"/>
          <w:sz w:val="24"/>
          <w:szCs w:val="24"/>
        </w:rPr>
        <w:t xml:space="preserve"> </w:t>
      </w:r>
      <w:r>
        <w:rPr>
          <w:rFonts w:ascii="宋体" w:hAnsi="宋体" w:eastAsia="宋体" w:cs="宋体"/>
          <w:spacing w:val="-2"/>
          <w:sz w:val="24"/>
          <w:szCs w:val="24"/>
        </w:rPr>
        <w:t>事件报告单位、报告签发人、联系人及联系电话等内容</w:t>
      </w:r>
      <w:r>
        <w:rPr>
          <w:rFonts w:ascii="宋体" w:hAnsi="宋体" w:eastAsia="宋体" w:cs="宋体"/>
          <w:spacing w:val="-3"/>
          <w:sz w:val="24"/>
          <w:szCs w:val="24"/>
        </w:rPr>
        <w:t>，并尽可能提供地图、图</w:t>
      </w:r>
      <w:r>
        <w:rPr>
          <w:rFonts w:ascii="宋体" w:hAnsi="宋体" w:eastAsia="宋体" w:cs="宋体"/>
          <w:sz w:val="24"/>
          <w:szCs w:val="24"/>
        </w:rPr>
        <w:t xml:space="preserve"> </w:t>
      </w:r>
      <w:r>
        <w:rPr>
          <w:rFonts w:ascii="宋体" w:hAnsi="宋体" w:eastAsia="宋体" w:cs="宋体"/>
          <w:spacing w:val="-1"/>
          <w:sz w:val="24"/>
          <w:szCs w:val="24"/>
        </w:rPr>
        <w:t>片以及有关的多媒体资料。</w:t>
      </w:r>
    </w:p>
    <w:p w14:paraId="2086A839">
      <w:pPr>
        <w:spacing w:before="245" w:line="220" w:lineRule="auto"/>
        <w:outlineLvl w:val="1"/>
        <w:rPr>
          <w:rFonts w:ascii="宋体" w:hAnsi="宋体" w:eastAsia="宋体" w:cs="宋体"/>
          <w:sz w:val="28"/>
          <w:szCs w:val="28"/>
        </w:rPr>
      </w:pPr>
      <w:bookmarkStart w:id="48" w:name="bookmark34"/>
      <w:bookmarkEnd w:id="48"/>
      <w:r>
        <w:rPr>
          <w:rFonts w:ascii="宋体" w:hAnsi="宋体" w:eastAsia="宋体" w:cs="宋体"/>
          <w:spacing w:val="1"/>
          <w:sz w:val="28"/>
          <w:szCs w:val="28"/>
        </w:rPr>
        <w:t>4.</w:t>
      </w:r>
      <w:r>
        <w:rPr>
          <w:rFonts w:ascii="宋体" w:hAnsi="宋体" w:eastAsia="宋体" w:cs="宋体"/>
          <w:b/>
          <w:bCs/>
          <w:spacing w:val="1"/>
          <w:sz w:val="28"/>
          <w:szCs w:val="28"/>
        </w:rPr>
        <w:t>3事态研判</w:t>
      </w:r>
    </w:p>
    <w:p w14:paraId="10F9FF8A">
      <w:pPr>
        <w:spacing w:before="216" w:line="362" w:lineRule="auto"/>
        <w:ind w:right="110" w:firstLine="469"/>
        <w:jc w:val="both"/>
        <w:rPr>
          <w:rFonts w:ascii="宋体" w:hAnsi="宋体" w:eastAsia="宋体" w:cs="宋体"/>
          <w:sz w:val="24"/>
          <w:szCs w:val="24"/>
        </w:rPr>
      </w:pPr>
      <w:r>
        <w:rPr>
          <w:rFonts w:ascii="宋体" w:hAnsi="宋体" w:eastAsia="宋体" w:cs="宋体"/>
          <w:spacing w:val="-4"/>
          <w:sz w:val="24"/>
          <w:szCs w:val="24"/>
        </w:rPr>
        <w:t>当发布预警后，现场应急指挥部按照</w:t>
      </w:r>
      <w:r>
        <w:rPr>
          <w:rFonts w:ascii="宋体" w:hAnsi="宋体" w:eastAsia="宋体" w:cs="宋体"/>
          <w:color w:val="506070"/>
          <w:spacing w:val="-4"/>
          <w:sz w:val="24"/>
          <w:szCs w:val="24"/>
        </w:rPr>
        <w:t>本预案中的列明的副总指挥、</w:t>
      </w:r>
      <w:r>
        <w:rPr>
          <w:rFonts w:ascii="宋体" w:hAnsi="宋体" w:eastAsia="宋体" w:cs="宋体"/>
          <w:spacing w:val="-4"/>
          <w:sz w:val="24"/>
          <w:szCs w:val="24"/>
        </w:rPr>
        <w:t>协调办公</w:t>
      </w:r>
      <w:r>
        <w:rPr>
          <w:rFonts w:ascii="宋体" w:hAnsi="宋体" w:eastAsia="宋体" w:cs="宋体"/>
          <w:spacing w:val="15"/>
          <w:sz w:val="24"/>
          <w:szCs w:val="24"/>
        </w:rPr>
        <w:t xml:space="preserve"> </w:t>
      </w:r>
      <w:r>
        <w:rPr>
          <w:rFonts w:ascii="宋体" w:hAnsi="宋体" w:eastAsia="宋体" w:cs="宋体"/>
          <w:spacing w:val="-3"/>
          <w:sz w:val="24"/>
          <w:szCs w:val="24"/>
        </w:rPr>
        <w:t>室、专项工作组成员单位及名单，迅速组建参加应急指挥的各工作组，跟踪开展</w:t>
      </w:r>
      <w:r>
        <w:rPr>
          <w:rFonts w:ascii="宋体" w:hAnsi="宋体" w:eastAsia="宋体" w:cs="宋体"/>
          <w:spacing w:val="17"/>
          <w:sz w:val="24"/>
          <w:szCs w:val="24"/>
        </w:rPr>
        <w:t xml:space="preserve"> </w:t>
      </w:r>
      <w:r>
        <w:rPr>
          <w:rFonts w:ascii="宋体" w:hAnsi="宋体" w:eastAsia="宋体" w:cs="宋体"/>
          <w:spacing w:val="-8"/>
          <w:sz w:val="24"/>
          <w:szCs w:val="24"/>
        </w:rPr>
        <w:t>事态研判。</w:t>
      </w:r>
    </w:p>
    <w:p w14:paraId="460B9CEE">
      <w:pPr>
        <w:spacing w:before="3" w:line="361" w:lineRule="auto"/>
        <w:ind w:right="91" w:firstLine="469"/>
        <w:jc w:val="both"/>
        <w:rPr>
          <w:rFonts w:ascii="宋体" w:hAnsi="宋体" w:eastAsia="宋体" w:cs="宋体"/>
          <w:sz w:val="24"/>
          <w:szCs w:val="24"/>
        </w:rPr>
      </w:pPr>
      <w:r>
        <w:rPr>
          <w:rFonts w:ascii="宋体" w:hAnsi="宋体" w:eastAsia="宋体" w:cs="宋体"/>
          <w:spacing w:val="-3"/>
          <w:sz w:val="24"/>
          <w:szCs w:val="24"/>
        </w:rPr>
        <w:t>事态研判的内容包括：事故点下游水利设施建设情况、判断污染物进入水源</w:t>
      </w:r>
      <w:r>
        <w:rPr>
          <w:rFonts w:ascii="宋体" w:hAnsi="宋体" w:eastAsia="宋体" w:cs="宋体"/>
          <w:spacing w:val="18"/>
          <w:sz w:val="24"/>
          <w:szCs w:val="24"/>
        </w:rPr>
        <w:t xml:space="preserve"> </w:t>
      </w:r>
      <w:r>
        <w:rPr>
          <w:rFonts w:ascii="宋体" w:hAnsi="宋体" w:eastAsia="宋体" w:cs="宋体"/>
          <w:spacing w:val="-2"/>
          <w:sz w:val="24"/>
          <w:szCs w:val="24"/>
        </w:rPr>
        <w:t>地的数量及种类性质、事故点下游地下水分布、距离水源地取水口的距离和可能</w:t>
      </w:r>
      <w:r>
        <w:rPr>
          <w:rFonts w:ascii="宋体" w:hAnsi="宋体" w:eastAsia="宋体" w:cs="宋体"/>
          <w:spacing w:val="1"/>
          <w:sz w:val="24"/>
          <w:szCs w:val="24"/>
        </w:rPr>
        <w:t xml:space="preserve"> </w:t>
      </w:r>
      <w:r>
        <w:rPr>
          <w:rFonts w:ascii="宋体" w:hAnsi="宋体" w:eastAsia="宋体" w:cs="宋体"/>
          <w:spacing w:val="-1"/>
          <w:sz w:val="24"/>
          <w:szCs w:val="24"/>
        </w:rPr>
        <w:t>对水源地造成的危害，</w:t>
      </w:r>
      <w:r>
        <w:rPr>
          <w:rFonts w:ascii="宋体" w:hAnsi="宋体" w:eastAsia="宋体" w:cs="宋体"/>
          <w:color w:val="607070"/>
          <w:spacing w:val="-1"/>
          <w:sz w:val="24"/>
          <w:szCs w:val="24"/>
        </w:rPr>
        <w:t>以及备用水源地情况。</w:t>
      </w:r>
    </w:p>
    <w:p w14:paraId="3C5A8F07">
      <w:pPr>
        <w:spacing w:line="364" w:lineRule="auto"/>
        <w:ind w:right="43" w:firstLine="469"/>
        <w:rPr>
          <w:rFonts w:ascii="宋体" w:hAnsi="宋体" w:eastAsia="宋体" w:cs="宋体"/>
          <w:sz w:val="24"/>
          <w:szCs w:val="24"/>
        </w:rPr>
      </w:pPr>
      <w:r>
        <w:rPr>
          <w:rFonts w:ascii="宋体" w:hAnsi="宋体" w:eastAsia="宋体" w:cs="宋体"/>
          <w:spacing w:val="-7"/>
          <w:sz w:val="24"/>
          <w:szCs w:val="24"/>
        </w:rPr>
        <w:t>事态研判的结果，应作为制定和动态调整应急</w:t>
      </w:r>
      <w:r>
        <w:rPr>
          <w:rFonts w:ascii="宋体" w:hAnsi="宋体" w:eastAsia="宋体" w:cs="宋体"/>
          <w:spacing w:val="-8"/>
          <w:sz w:val="24"/>
          <w:szCs w:val="24"/>
        </w:rPr>
        <w:t>响应有关方案、</w:t>
      </w:r>
      <w:r>
        <w:rPr>
          <w:rFonts w:ascii="宋体" w:hAnsi="宋体" w:eastAsia="宋体" w:cs="宋体"/>
          <w:color w:val="607070"/>
          <w:spacing w:val="-8"/>
          <w:sz w:val="24"/>
          <w:szCs w:val="24"/>
        </w:rPr>
        <w:t>实施应急监测、</w:t>
      </w:r>
      <w:r>
        <w:rPr>
          <w:rFonts w:ascii="宋体" w:hAnsi="宋体" w:eastAsia="宋体" w:cs="宋体"/>
          <w:color w:val="607070"/>
          <w:sz w:val="24"/>
          <w:szCs w:val="24"/>
        </w:rPr>
        <w:t xml:space="preserve"> </w:t>
      </w:r>
      <w:r>
        <w:rPr>
          <w:rFonts w:ascii="宋体" w:hAnsi="宋体" w:eastAsia="宋体" w:cs="宋体"/>
          <w:spacing w:val="-3"/>
          <w:sz w:val="24"/>
          <w:szCs w:val="24"/>
        </w:rPr>
        <w:t>污染源排查与处置和应急处置的重要基础。</w:t>
      </w:r>
    </w:p>
    <w:p w14:paraId="1897E97B">
      <w:pPr>
        <w:spacing w:before="52" w:line="221" w:lineRule="auto"/>
        <w:ind w:left="4"/>
        <w:outlineLvl w:val="1"/>
        <w:rPr>
          <w:rFonts w:ascii="宋体" w:hAnsi="宋体" w:eastAsia="宋体" w:cs="宋体"/>
          <w:sz w:val="28"/>
          <w:szCs w:val="28"/>
        </w:rPr>
      </w:pPr>
      <w:bookmarkStart w:id="49" w:name="bookmark35"/>
      <w:bookmarkEnd w:id="49"/>
      <w:r>
        <w:rPr>
          <w:rFonts w:ascii="宋体" w:hAnsi="宋体" w:eastAsia="宋体" w:cs="宋体"/>
          <w:b/>
          <w:bCs/>
          <w:sz w:val="28"/>
          <w:szCs w:val="28"/>
        </w:rPr>
        <w:t>4.4应急监测</w:t>
      </w:r>
    </w:p>
    <w:p w14:paraId="48FBD8CD">
      <w:pPr>
        <w:spacing w:before="223" w:line="220" w:lineRule="auto"/>
        <w:rPr>
          <w:rFonts w:ascii="宋体" w:hAnsi="宋体" w:eastAsia="宋体" w:cs="宋体"/>
          <w:sz w:val="24"/>
          <w:szCs w:val="24"/>
        </w:rPr>
      </w:pPr>
      <w:r>
        <w:rPr>
          <w:rFonts w:ascii="宋体" w:hAnsi="宋体" w:eastAsia="宋体" w:cs="宋体"/>
          <w:spacing w:val="2"/>
          <w:sz w:val="24"/>
          <w:szCs w:val="24"/>
        </w:rPr>
        <w:t>4.4.</w:t>
      </w:r>
      <w:r>
        <w:rPr>
          <w:rFonts w:ascii="宋体" w:hAnsi="宋体" w:eastAsia="宋体" w:cs="宋体"/>
          <w:b/>
          <w:bCs/>
          <w:spacing w:val="2"/>
          <w:sz w:val="24"/>
          <w:szCs w:val="24"/>
        </w:rPr>
        <w:t>1开展应急监测程序</w:t>
      </w:r>
    </w:p>
    <w:p w14:paraId="07D5D7E9">
      <w:pPr>
        <w:spacing w:line="220" w:lineRule="auto"/>
        <w:rPr>
          <w:rFonts w:ascii="宋体" w:hAnsi="宋体" w:eastAsia="宋体" w:cs="宋体"/>
          <w:sz w:val="24"/>
          <w:szCs w:val="24"/>
        </w:rPr>
        <w:sectPr>
          <w:footerReference r:id="rId28" w:type="default"/>
          <w:pgSz w:w="11910" w:h="16850"/>
          <w:pgMar w:top="1432" w:right="1786" w:bottom="1329" w:left="1700" w:header="0" w:footer="1185" w:gutter="0"/>
          <w:cols w:space="720" w:num="1"/>
        </w:sectPr>
      </w:pPr>
    </w:p>
    <w:p w14:paraId="2F72F532">
      <w:pPr>
        <w:spacing w:before="47" w:line="219" w:lineRule="auto"/>
        <w:ind w:left="479"/>
        <w:rPr>
          <w:rFonts w:ascii="宋体" w:hAnsi="宋体" w:eastAsia="宋体" w:cs="宋体"/>
          <w:sz w:val="24"/>
          <w:szCs w:val="24"/>
        </w:rPr>
      </w:pPr>
      <w:bookmarkStart w:id="50" w:name="bookmark84"/>
      <w:bookmarkEnd w:id="50"/>
      <w:r>
        <w:rPr>
          <w:rFonts w:ascii="宋体" w:hAnsi="宋体" w:eastAsia="宋体" w:cs="宋体"/>
          <w:color w:val="506060"/>
          <w:sz w:val="24"/>
          <w:szCs w:val="24"/>
        </w:rPr>
        <w:t>当明确发布预警后，</w:t>
      </w:r>
      <w:r>
        <w:rPr>
          <w:rFonts w:ascii="宋体" w:hAnsi="宋体" w:eastAsia="宋体" w:cs="宋体"/>
          <w:color w:val="507070"/>
          <w:sz w:val="24"/>
          <w:szCs w:val="24"/>
        </w:rPr>
        <w:t>应急监测实施单位为包头</w:t>
      </w:r>
      <w:r>
        <w:rPr>
          <w:rFonts w:ascii="宋体" w:hAnsi="宋体" w:eastAsia="宋体" w:cs="宋体"/>
          <w:color w:val="507070"/>
          <w:spacing w:val="-1"/>
          <w:sz w:val="24"/>
          <w:szCs w:val="24"/>
        </w:rPr>
        <w:t>市生态环境局石拐区分局。</w:t>
      </w:r>
    </w:p>
    <w:p w14:paraId="31BE923D">
      <w:pPr>
        <w:spacing w:before="174" w:line="358" w:lineRule="auto"/>
        <w:ind w:right="63" w:firstLine="479"/>
        <w:rPr>
          <w:rFonts w:ascii="宋体" w:hAnsi="宋体" w:eastAsia="宋体" w:cs="宋体"/>
          <w:sz w:val="24"/>
          <w:szCs w:val="24"/>
        </w:rPr>
      </w:pPr>
      <w:r>
        <w:rPr>
          <w:rFonts w:ascii="宋体" w:hAnsi="宋体" w:eastAsia="宋体" w:cs="宋体"/>
          <w:color w:val="506060"/>
          <w:spacing w:val="-1"/>
          <w:sz w:val="24"/>
          <w:szCs w:val="24"/>
        </w:rPr>
        <w:t>事件处置初期，包头市生态环境局石拐区分局应按照现场应急指挥部命令，</w:t>
      </w:r>
      <w:r>
        <w:rPr>
          <w:rFonts w:ascii="宋体" w:hAnsi="宋体" w:eastAsia="宋体" w:cs="宋体"/>
          <w:color w:val="506060"/>
          <w:spacing w:val="11"/>
          <w:sz w:val="24"/>
          <w:szCs w:val="24"/>
        </w:rPr>
        <w:t xml:space="preserve"> </w:t>
      </w:r>
      <w:r>
        <w:rPr>
          <w:rFonts w:ascii="宋体" w:hAnsi="宋体" w:eastAsia="宋体" w:cs="宋体"/>
          <w:color w:val="506060"/>
          <w:spacing w:val="5"/>
          <w:sz w:val="24"/>
          <w:szCs w:val="24"/>
        </w:rPr>
        <w:t>根据现场实际情况制定监测方案、设置监测点位(断面)、确定监测频次、组织</w:t>
      </w:r>
      <w:r>
        <w:rPr>
          <w:rFonts w:ascii="宋体" w:hAnsi="宋体" w:eastAsia="宋体" w:cs="宋体"/>
          <w:color w:val="506060"/>
          <w:spacing w:val="7"/>
          <w:sz w:val="24"/>
          <w:szCs w:val="24"/>
        </w:rPr>
        <w:t xml:space="preserve"> </w:t>
      </w:r>
      <w:r>
        <w:rPr>
          <w:rFonts w:ascii="宋体" w:hAnsi="宋体" w:eastAsia="宋体" w:cs="宋体"/>
          <w:color w:val="506060"/>
          <w:spacing w:val="-2"/>
          <w:sz w:val="24"/>
          <w:szCs w:val="24"/>
        </w:rPr>
        <w:t>开展监测、形成监测报告，第一时间向现场应急指挥部报告监测结果和污染浓度</w:t>
      </w:r>
      <w:r>
        <w:rPr>
          <w:rFonts w:ascii="宋体" w:hAnsi="宋体" w:eastAsia="宋体" w:cs="宋体"/>
          <w:color w:val="506060"/>
          <w:spacing w:val="13"/>
          <w:sz w:val="24"/>
          <w:szCs w:val="24"/>
        </w:rPr>
        <w:t xml:space="preserve"> </w:t>
      </w:r>
      <w:r>
        <w:rPr>
          <w:rFonts w:ascii="宋体" w:hAnsi="宋体" w:eastAsia="宋体" w:cs="宋体"/>
          <w:color w:val="506060"/>
          <w:sz w:val="24"/>
          <w:szCs w:val="24"/>
        </w:rPr>
        <w:t>变化态势图，并安排人员对突发环境事件监测情况进行全过程记</w:t>
      </w:r>
      <w:r>
        <w:rPr>
          <w:rFonts w:ascii="宋体" w:hAnsi="宋体" w:eastAsia="宋体" w:cs="宋体"/>
          <w:color w:val="506060"/>
          <w:spacing w:val="-1"/>
          <w:sz w:val="24"/>
          <w:szCs w:val="24"/>
        </w:rPr>
        <w:t>录。</w:t>
      </w:r>
    </w:p>
    <w:p w14:paraId="744CFE57">
      <w:pPr>
        <w:spacing w:before="11" w:line="361" w:lineRule="auto"/>
        <w:ind w:right="43" w:firstLine="479"/>
        <w:rPr>
          <w:rFonts w:ascii="宋体" w:hAnsi="宋体" w:eastAsia="宋体" w:cs="宋体"/>
          <w:sz w:val="24"/>
          <w:szCs w:val="24"/>
        </w:rPr>
      </w:pPr>
      <w:r>
        <w:rPr>
          <w:rFonts w:ascii="宋体" w:hAnsi="宋体" w:eastAsia="宋体" w:cs="宋体"/>
          <w:color w:val="506060"/>
          <w:spacing w:val="-7"/>
          <w:sz w:val="24"/>
          <w:szCs w:val="24"/>
        </w:rPr>
        <w:t>事件处置中期，应根据事态发展，如地下水水量、应急处置措施效果</w:t>
      </w:r>
      <w:r>
        <w:rPr>
          <w:rFonts w:ascii="宋体" w:hAnsi="宋体" w:eastAsia="宋体" w:cs="宋体"/>
          <w:color w:val="506060"/>
          <w:spacing w:val="-8"/>
          <w:sz w:val="24"/>
          <w:szCs w:val="24"/>
        </w:rPr>
        <w:t>等情况，</w:t>
      </w:r>
      <w:r>
        <w:rPr>
          <w:rFonts w:ascii="宋体" w:hAnsi="宋体" w:eastAsia="宋体" w:cs="宋体"/>
          <w:color w:val="506060"/>
          <w:sz w:val="24"/>
          <w:szCs w:val="24"/>
        </w:rPr>
        <w:t xml:space="preserve"> </w:t>
      </w:r>
      <w:r>
        <w:rPr>
          <w:rFonts w:ascii="宋体" w:hAnsi="宋体" w:eastAsia="宋体" w:cs="宋体"/>
          <w:color w:val="506060"/>
          <w:spacing w:val="12"/>
          <w:sz w:val="24"/>
          <w:szCs w:val="24"/>
        </w:rPr>
        <w:t>适时调整监测点位(断面)和监测频次。</w:t>
      </w:r>
    </w:p>
    <w:p w14:paraId="4A133F89">
      <w:pPr>
        <w:spacing w:before="2" w:line="360" w:lineRule="auto"/>
        <w:ind w:right="96" w:firstLine="479"/>
        <w:rPr>
          <w:rFonts w:ascii="宋体" w:hAnsi="宋体" w:eastAsia="宋体" w:cs="宋体"/>
          <w:sz w:val="24"/>
          <w:szCs w:val="24"/>
        </w:rPr>
      </w:pPr>
      <w:r>
        <w:rPr>
          <w:rFonts w:ascii="宋体" w:hAnsi="宋体" w:eastAsia="宋体" w:cs="宋体"/>
          <w:color w:val="506060"/>
          <w:spacing w:val="-2"/>
          <w:sz w:val="24"/>
          <w:szCs w:val="24"/>
        </w:rPr>
        <w:t>事件处置末期，应按照现场应急指挥部命令，停止应急监测，并向现场应急</w:t>
      </w:r>
      <w:r>
        <w:rPr>
          <w:rFonts w:ascii="宋体" w:hAnsi="宋体" w:eastAsia="宋体" w:cs="宋体"/>
          <w:color w:val="506060"/>
          <w:spacing w:val="11"/>
          <w:sz w:val="24"/>
          <w:szCs w:val="24"/>
        </w:rPr>
        <w:t xml:space="preserve"> </w:t>
      </w:r>
      <w:r>
        <w:rPr>
          <w:rFonts w:ascii="宋体" w:hAnsi="宋体" w:eastAsia="宋体" w:cs="宋体"/>
          <w:color w:val="506060"/>
          <w:spacing w:val="-1"/>
          <w:sz w:val="24"/>
          <w:szCs w:val="24"/>
        </w:rPr>
        <w:t>指挥部提交应急监测总结报告。</w:t>
      </w:r>
    </w:p>
    <w:p w14:paraId="2840B6AD">
      <w:pPr>
        <w:spacing w:line="220" w:lineRule="auto"/>
        <w:ind w:left="3"/>
        <w:rPr>
          <w:rFonts w:ascii="宋体" w:hAnsi="宋体" w:eastAsia="宋体" w:cs="宋体"/>
          <w:sz w:val="24"/>
          <w:szCs w:val="24"/>
        </w:rPr>
      </w:pPr>
      <w:r>
        <w:rPr>
          <w:rFonts w:ascii="宋体" w:hAnsi="宋体" w:eastAsia="宋体" w:cs="宋体"/>
          <w:b/>
          <w:bCs/>
          <w:color w:val="506060"/>
          <w:spacing w:val="-1"/>
          <w:sz w:val="24"/>
          <w:szCs w:val="24"/>
        </w:rPr>
        <w:t>4.4.2开展应急监测程序</w:t>
      </w:r>
    </w:p>
    <w:p w14:paraId="32C96A7C">
      <w:pPr>
        <w:spacing w:before="176" w:line="359" w:lineRule="auto"/>
        <w:ind w:right="105" w:firstLine="479"/>
        <w:jc w:val="both"/>
        <w:rPr>
          <w:rFonts w:ascii="宋体" w:hAnsi="宋体" w:eastAsia="宋体" w:cs="宋体"/>
          <w:sz w:val="24"/>
          <w:szCs w:val="24"/>
        </w:rPr>
      </w:pPr>
      <w:r>
        <w:rPr>
          <w:rFonts w:ascii="宋体" w:hAnsi="宋体" w:eastAsia="宋体" w:cs="宋体"/>
          <w:color w:val="506060"/>
          <w:spacing w:val="-2"/>
          <w:sz w:val="24"/>
          <w:szCs w:val="24"/>
        </w:rPr>
        <w:t>应急监测重点是抓住污染物种类、迁移方式和浓度变化，对污染物移动过程</w:t>
      </w:r>
      <w:r>
        <w:rPr>
          <w:rFonts w:ascii="宋体" w:hAnsi="宋体" w:eastAsia="宋体" w:cs="宋体"/>
          <w:color w:val="506060"/>
          <w:spacing w:val="3"/>
          <w:sz w:val="24"/>
          <w:szCs w:val="24"/>
        </w:rPr>
        <w:t xml:space="preserve"> </w:t>
      </w:r>
      <w:r>
        <w:rPr>
          <w:rFonts w:ascii="宋体" w:hAnsi="宋体" w:eastAsia="宋体" w:cs="宋体"/>
          <w:color w:val="606070"/>
          <w:spacing w:val="-2"/>
          <w:sz w:val="24"/>
          <w:szCs w:val="24"/>
        </w:rPr>
        <w:t>形成动态监控。</w:t>
      </w:r>
      <w:r>
        <w:rPr>
          <w:rFonts w:ascii="宋体" w:hAnsi="宋体" w:eastAsia="宋体" w:cs="宋体"/>
          <w:color w:val="506060"/>
          <w:spacing w:val="-2"/>
          <w:sz w:val="24"/>
          <w:szCs w:val="24"/>
        </w:rPr>
        <w:t>当污染来源不明时，应先通过应急监测确定特征污</w:t>
      </w:r>
      <w:r>
        <w:rPr>
          <w:rFonts w:ascii="宋体" w:hAnsi="宋体" w:eastAsia="宋体" w:cs="宋体"/>
          <w:color w:val="506060"/>
          <w:spacing w:val="-3"/>
          <w:sz w:val="24"/>
          <w:szCs w:val="24"/>
        </w:rPr>
        <w:t>染物成份，再</w:t>
      </w:r>
      <w:r>
        <w:rPr>
          <w:rFonts w:ascii="宋体" w:hAnsi="宋体" w:eastAsia="宋体" w:cs="宋体"/>
          <w:color w:val="506060"/>
          <w:sz w:val="24"/>
          <w:szCs w:val="24"/>
        </w:rPr>
        <w:t xml:space="preserve"> </w:t>
      </w:r>
      <w:r>
        <w:rPr>
          <w:rFonts w:ascii="宋体" w:hAnsi="宋体" w:eastAsia="宋体" w:cs="宋体"/>
          <w:color w:val="506060"/>
          <w:spacing w:val="-1"/>
          <w:sz w:val="24"/>
          <w:szCs w:val="24"/>
        </w:rPr>
        <w:t>进行污染源排查和先期处置。</w:t>
      </w:r>
    </w:p>
    <w:p w14:paraId="09BB6FA1">
      <w:pPr>
        <w:spacing w:before="10" w:line="220" w:lineRule="auto"/>
        <w:ind w:left="479"/>
        <w:rPr>
          <w:rFonts w:ascii="宋体" w:hAnsi="宋体" w:eastAsia="宋体" w:cs="宋体"/>
          <w:sz w:val="24"/>
          <w:szCs w:val="24"/>
        </w:rPr>
      </w:pPr>
      <w:r>
        <w:rPr>
          <w:rFonts w:ascii="宋体" w:hAnsi="宋体" w:eastAsia="宋体" w:cs="宋体"/>
          <w:color w:val="507070"/>
          <w:spacing w:val="-4"/>
          <w:sz w:val="24"/>
          <w:szCs w:val="24"/>
        </w:rPr>
        <w:t>应急监测原则和注意事项：</w:t>
      </w:r>
    </w:p>
    <w:p w14:paraId="73483D98">
      <w:pPr>
        <w:spacing w:before="183" w:line="290" w:lineRule="auto"/>
        <w:ind w:right="103" w:firstLine="620"/>
        <w:rPr>
          <w:rFonts w:ascii="宋体" w:hAnsi="宋体" w:eastAsia="宋体" w:cs="宋体"/>
          <w:sz w:val="24"/>
          <w:szCs w:val="24"/>
        </w:rPr>
      </w:pPr>
      <w:r>
        <w:rPr>
          <w:rFonts w:ascii="宋体" w:hAnsi="宋体" w:eastAsia="宋体" w:cs="宋体"/>
          <w:color w:val="506060"/>
          <w:spacing w:val="5"/>
          <w:sz w:val="24"/>
          <w:szCs w:val="24"/>
        </w:rPr>
        <w:t>(1)监测范围。应尽量涵盖水源地突发环境事件的污染范围</w:t>
      </w:r>
      <w:r>
        <w:rPr>
          <w:rFonts w:ascii="宋体" w:hAnsi="宋体" w:eastAsia="宋体" w:cs="宋体"/>
          <w:color w:val="506060"/>
          <w:spacing w:val="4"/>
          <w:sz w:val="24"/>
          <w:szCs w:val="24"/>
        </w:rPr>
        <w:t>，并包括事件</w:t>
      </w:r>
      <w:r>
        <w:rPr>
          <w:rFonts w:ascii="宋体" w:hAnsi="宋体" w:eastAsia="宋体" w:cs="宋体"/>
          <w:color w:val="506060"/>
          <w:sz w:val="24"/>
          <w:szCs w:val="24"/>
        </w:rPr>
        <w:t xml:space="preserve"> </w:t>
      </w:r>
      <w:r>
        <w:rPr>
          <w:rFonts w:ascii="宋体" w:hAnsi="宋体" w:eastAsia="宋体" w:cs="宋体"/>
          <w:color w:val="506060"/>
          <w:spacing w:val="-1"/>
          <w:sz w:val="24"/>
          <w:szCs w:val="24"/>
        </w:rPr>
        <w:t>可能影响区域和污染物本底浓度的监测区域。</w:t>
      </w:r>
    </w:p>
    <w:p w14:paraId="35F4A716">
      <w:pPr>
        <w:spacing w:before="195" w:line="322" w:lineRule="auto"/>
        <w:ind w:right="100" w:firstLine="620"/>
        <w:rPr>
          <w:rFonts w:ascii="宋体" w:hAnsi="宋体" w:eastAsia="宋体" w:cs="宋体"/>
          <w:sz w:val="24"/>
          <w:szCs w:val="24"/>
        </w:rPr>
      </w:pPr>
      <w:r>
        <w:rPr>
          <w:rFonts w:ascii="宋体" w:hAnsi="宋体" w:eastAsia="宋体" w:cs="宋体"/>
          <w:color w:val="506060"/>
          <w:spacing w:val="5"/>
          <w:sz w:val="24"/>
          <w:szCs w:val="24"/>
        </w:rPr>
        <w:t>(2)监测布点和频次。以突发环境事件发生地点为中心或源头，结</w:t>
      </w:r>
      <w:r>
        <w:rPr>
          <w:rFonts w:ascii="宋体" w:hAnsi="宋体" w:eastAsia="宋体" w:cs="宋体"/>
          <w:color w:val="506060"/>
          <w:spacing w:val="4"/>
          <w:sz w:val="24"/>
          <w:szCs w:val="24"/>
        </w:rPr>
        <w:t>合水文</w:t>
      </w:r>
      <w:r>
        <w:rPr>
          <w:rFonts w:ascii="宋体" w:hAnsi="宋体" w:eastAsia="宋体" w:cs="宋体"/>
          <w:color w:val="506060"/>
          <w:sz w:val="24"/>
          <w:szCs w:val="24"/>
        </w:rPr>
        <w:t xml:space="preserve"> </w:t>
      </w:r>
      <w:r>
        <w:rPr>
          <w:rFonts w:ascii="宋体" w:hAnsi="宋体" w:eastAsia="宋体" w:cs="宋体"/>
          <w:color w:val="506060"/>
          <w:spacing w:val="-2"/>
          <w:sz w:val="24"/>
          <w:szCs w:val="24"/>
        </w:rPr>
        <w:t>和气象条件，在其扩散方向及可能受到影响的水源地位置合理布点，必要时在事</w:t>
      </w:r>
      <w:r>
        <w:rPr>
          <w:rFonts w:ascii="宋体" w:hAnsi="宋体" w:eastAsia="宋体" w:cs="宋体"/>
          <w:color w:val="506060"/>
          <w:spacing w:val="10"/>
          <w:sz w:val="24"/>
          <w:szCs w:val="24"/>
        </w:rPr>
        <w:t xml:space="preserve"> </w:t>
      </w:r>
      <w:r>
        <w:rPr>
          <w:rFonts w:ascii="宋体" w:hAnsi="宋体" w:eastAsia="宋体" w:cs="宋体"/>
          <w:color w:val="506060"/>
          <w:spacing w:val="1"/>
          <w:sz w:val="24"/>
          <w:szCs w:val="24"/>
        </w:rPr>
        <w:t>故影响区域内农灌区取水口处设置监测点位。应采取不同点位相同间隔时间(一</w:t>
      </w:r>
      <w:r>
        <w:rPr>
          <w:rFonts w:ascii="宋体" w:hAnsi="宋体" w:eastAsia="宋体" w:cs="宋体"/>
          <w:color w:val="506060"/>
          <w:spacing w:val="7"/>
          <w:sz w:val="24"/>
          <w:szCs w:val="24"/>
        </w:rPr>
        <w:t xml:space="preserve"> </w:t>
      </w:r>
      <w:r>
        <w:rPr>
          <w:rFonts w:ascii="宋体" w:hAnsi="宋体" w:eastAsia="宋体" w:cs="宋体"/>
          <w:color w:val="506060"/>
          <w:spacing w:val="6"/>
          <w:sz w:val="24"/>
          <w:szCs w:val="24"/>
        </w:rPr>
        <w:t>般为1</w:t>
      </w:r>
      <w:r>
        <w:rPr>
          <w:rFonts w:ascii="宋体" w:hAnsi="宋体" w:eastAsia="宋体" w:cs="宋体"/>
          <w:color w:val="506060"/>
          <w:spacing w:val="-23"/>
          <w:sz w:val="24"/>
          <w:szCs w:val="24"/>
        </w:rPr>
        <w:t xml:space="preserve"> </w:t>
      </w:r>
      <w:r>
        <w:rPr>
          <w:rFonts w:ascii="宋体" w:hAnsi="宋体" w:eastAsia="宋体" w:cs="宋体"/>
          <w:color w:val="506060"/>
          <w:spacing w:val="6"/>
          <w:sz w:val="24"/>
          <w:szCs w:val="24"/>
        </w:rPr>
        <w:t>小时)</w:t>
      </w:r>
      <w:r>
        <w:rPr>
          <w:rFonts w:ascii="宋体" w:hAnsi="宋体" w:eastAsia="宋体" w:cs="宋体"/>
          <w:color w:val="507070"/>
          <w:spacing w:val="6"/>
          <w:sz w:val="24"/>
          <w:szCs w:val="24"/>
        </w:rPr>
        <w:t>同步采样监测方式，</w:t>
      </w:r>
      <w:r>
        <w:rPr>
          <w:rFonts w:ascii="宋体" w:hAnsi="宋体" w:eastAsia="宋体" w:cs="宋体"/>
          <w:color w:val="506060"/>
          <w:spacing w:val="6"/>
          <w:sz w:val="24"/>
          <w:szCs w:val="24"/>
        </w:rPr>
        <w:t>动态监控污染带移动过程。</w:t>
      </w:r>
    </w:p>
    <w:p w14:paraId="6B78CB51">
      <w:pPr>
        <w:spacing w:before="193" w:line="288" w:lineRule="auto"/>
        <w:ind w:right="104" w:firstLine="479"/>
        <w:rPr>
          <w:rFonts w:ascii="宋体" w:hAnsi="宋体" w:eastAsia="宋体" w:cs="宋体"/>
          <w:sz w:val="24"/>
          <w:szCs w:val="24"/>
        </w:rPr>
      </w:pPr>
      <w:r>
        <w:rPr>
          <w:rFonts w:ascii="宋体" w:hAnsi="宋体" w:eastAsia="宋体" w:cs="宋体"/>
          <w:color w:val="506060"/>
          <w:spacing w:val="-2"/>
          <w:sz w:val="24"/>
          <w:szCs w:val="24"/>
        </w:rPr>
        <w:t>①针对固定源突发环境事件，应对固定源排放口附近水域、下游水源地附近</w:t>
      </w:r>
      <w:r>
        <w:rPr>
          <w:rFonts w:ascii="宋体" w:hAnsi="宋体" w:eastAsia="宋体" w:cs="宋体"/>
          <w:color w:val="506060"/>
          <w:spacing w:val="4"/>
          <w:sz w:val="24"/>
          <w:szCs w:val="24"/>
        </w:rPr>
        <w:t xml:space="preserve"> </w:t>
      </w:r>
      <w:r>
        <w:rPr>
          <w:rFonts w:ascii="宋体" w:hAnsi="宋体" w:eastAsia="宋体" w:cs="宋体"/>
          <w:color w:val="506060"/>
          <w:spacing w:val="-1"/>
          <w:sz w:val="24"/>
          <w:szCs w:val="24"/>
        </w:rPr>
        <w:t>水域进行加密跟踪监测。</w:t>
      </w:r>
    </w:p>
    <w:p w14:paraId="045E3DFC">
      <w:pPr>
        <w:spacing w:before="203" w:line="283" w:lineRule="auto"/>
        <w:ind w:right="104" w:firstLine="479"/>
        <w:rPr>
          <w:rFonts w:ascii="宋体" w:hAnsi="宋体" w:eastAsia="宋体" w:cs="宋体"/>
          <w:sz w:val="24"/>
          <w:szCs w:val="24"/>
        </w:rPr>
      </w:pPr>
      <w:r>
        <w:rPr>
          <w:rFonts w:ascii="宋体" w:hAnsi="宋体" w:eastAsia="宋体" w:cs="宋体"/>
          <w:color w:val="506060"/>
          <w:spacing w:val="-2"/>
          <w:sz w:val="24"/>
          <w:szCs w:val="24"/>
        </w:rPr>
        <w:t>②针对流动源、非点源突发环境事件，应对事发区域下游水域、下游水源地</w:t>
      </w:r>
      <w:r>
        <w:rPr>
          <w:rFonts w:ascii="宋体" w:hAnsi="宋体" w:eastAsia="宋体" w:cs="宋体"/>
          <w:color w:val="506060"/>
          <w:spacing w:val="4"/>
          <w:sz w:val="24"/>
          <w:szCs w:val="24"/>
        </w:rPr>
        <w:t xml:space="preserve"> </w:t>
      </w:r>
      <w:r>
        <w:rPr>
          <w:rFonts w:ascii="宋体" w:hAnsi="宋体" w:eastAsia="宋体" w:cs="宋体"/>
          <w:color w:val="506060"/>
          <w:spacing w:val="-3"/>
          <w:sz w:val="24"/>
          <w:szCs w:val="24"/>
        </w:rPr>
        <w:t>附近进行加密跟踪监测。</w:t>
      </w:r>
    </w:p>
    <w:p w14:paraId="2BB33FA5">
      <w:pPr>
        <w:spacing w:before="204" w:line="307" w:lineRule="auto"/>
        <w:ind w:right="100" w:firstLine="620"/>
        <w:rPr>
          <w:rFonts w:ascii="宋体" w:hAnsi="宋体" w:eastAsia="宋体" w:cs="宋体"/>
          <w:sz w:val="24"/>
          <w:szCs w:val="24"/>
        </w:rPr>
      </w:pPr>
      <w:r>
        <w:rPr>
          <w:rFonts w:ascii="宋体" w:hAnsi="宋体" w:eastAsia="宋体" w:cs="宋体"/>
          <w:color w:val="506060"/>
          <w:spacing w:val="2"/>
          <w:sz w:val="24"/>
          <w:szCs w:val="24"/>
        </w:rPr>
        <w:t>(3)现场采样。</w:t>
      </w:r>
      <w:r>
        <w:rPr>
          <w:rFonts w:ascii="宋体" w:hAnsi="宋体" w:eastAsia="宋体" w:cs="宋体"/>
          <w:color w:val="506060"/>
          <w:spacing w:val="-28"/>
          <w:sz w:val="24"/>
          <w:szCs w:val="24"/>
        </w:rPr>
        <w:t xml:space="preserve"> </w:t>
      </w:r>
      <w:r>
        <w:rPr>
          <w:rFonts w:ascii="宋体" w:hAnsi="宋体" w:eastAsia="宋体" w:cs="宋体"/>
          <w:color w:val="507070"/>
          <w:spacing w:val="2"/>
          <w:sz w:val="24"/>
          <w:szCs w:val="24"/>
        </w:rPr>
        <w:t>应制定采样计划和准备采样器材。采样量应同时满足快速</w:t>
      </w:r>
      <w:r>
        <w:rPr>
          <w:rFonts w:ascii="宋体" w:hAnsi="宋体" w:eastAsia="宋体" w:cs="宋体"/>
          <w:color w:val="507070"/>
          <w:sz w:val="24"/>
          <w:szCs w:val="24"/>
        </w:rPr>
        <w:t xml:space="preserve"> </w:t>
      </w:r>
      <w:r>
        <w:rPr>
          <w:rFonts w:ascii="宋体" w:hAnsi="宋体" w:eastAsia="宋体" w:cs="宋体"/>
          <w:color w:val="506060"/>
          <w:spacing w:val="-2"/>
          <w:sz w:val="24"/>
          <w:szCs w:val="24"/>
        </w:rPr>
        <w:t>监测、实验室监测和留样的需要。采样频次应考虑污染程度和现场水文条件，按</w:t>
      </w:r>
      <w:r>
        <w:rPr>
          <w:rFonts w:ascii="宋体" w:hAnsi="宋体" w:eastAsia="宋体" w:cs="宋体"/>
          <w:color w:val="506060"/>
          <w:spacing w:val="12"/>
          <w:sz w:val="24"/>
          <w:szCs w:val="24"/>
        </w:rPr>
        <w:t xml:space="preserve"> </w:t>
      </w:r>
      <w:r>
        <w:rPr>
          <w:rFonts w:ascii="宋体" w:hAnsi="宋体" w:eastAsia="宋体" w:cs="宋体"/>
          <w:color w:val="506060"/>
          <w:spacing w:val="-2"/>
          <w:sz w:val="24"/>
          <w:szCs w:val="24"/>
        </w:rPr>
        <w:t>照应急专家组的意见确定。</w:t>
      </w:r>
    </w:p>
    <w:p w14:paraId="233FF5E3">
      <w:pPr>
        <w:spacing w:before="214" w:line="290" w:lineRule="auto"/>
        <w:ind w:right="103" w:firstLine="620"/>
        <w:rPr>
          <w:rFonts w:ascii="宋体" w:hAnsi="宋体" w:eastAsia="宋体" w:cs="宋体"/>
          <w:sz w:val="24"/>
          <w:szCs w:val="24"/>
        </w:rPr>
      </w:pPr>
      <w:r>
        <w:rPr>
          <w:rFonts w:ascii="宋体" w:hAnsi="宋体" w:eastAsia="宋体" w:cs="宋体"/>
          <w:color w:val="506060"/>
          <w:spacing w:val="3"/>
          <w:sz w:val="24"/>
          <w:szCs w:val="24"/>
        </w:rPr>
        <w:t>(4)监测项目。通过现场信息收集、信息研判、代表性样品分析等途径，</w:t>
      </w:r>
      <w:r>
        <w:rPr>
          <w:rFonts w:ascii="宋体" w:hAnsi="宋体" w:eastAsia="宋体" w:cs="宋体"/>
          <w:color w:val="506060"/>
          <w:sz w:val="24"/>
          <w:szCs w:val="24"/>
        </w:rPr>
        <w:t xml:space="preserve"> </w:t>
      </w:r>
      <w:r>
        <w:rPr>
          <w:rFonts w:ascii="宋体" w:hAnsi="宋体" w:eastAsia="宋体" w:cs="宋体"/>
          <w:color w:val="506060"/>
          <w:spacing w:val="-2"/>
          <w:sz w:val="24"/>
          <w:szCs w:val="24"/>
        </w:rPr>
        <w:t>确定主要污染物及监测项目。监测项目应考虑主要污染物在环境中可能产生的化</w:t>
      </w:r>
    </w:p>
    <w:p w14:paraId="58A28994">
      <w:pPr>
        <w:spacing w:line="290" w:lineRule="auto"/>
        <w:rPr>
          <w:rFonts w:ascii="宋体" w:hAnsi="宋体" w:eastAsia="宋体" w:cs="宋体"/>
          <w:sz w:val="24"/>
          <w:szCs w:val="24"/>
        </w:rPr>
        <w:sectPr>
          <w:footerReference r:id="rId29" w:type="default"/>
          <w:pgSz w:w="11910" w:h="16850"/>
          <w:pgMar w:top="1430" w:right="1786" w:bottom="1528" w:left="1680" w:header="0" w:footer="1296" w:gutter="0"/>
          <w:cols w:space="720" w:num="1"/>
        </w:sectPr>
      </w:pPr>
    </w:p>
    <w:p w14:paraId="03700C60">
      <w:pPr>
        <w:spacing w:before="287" w:line="346" w:lineRule="auto"/>
        <w:ind w:right="113"/>
        <w:rPr>
          <w:rFonts w:ascii="宋体" w:hAnsi="宋体" w:eastAsia="宋体" w:cs="宋体"/>
          <w:sz w:val="24"/>
          <w:szCs w:val="24"/>
        </w:rPr>
      </w:pPr>
      <w:bookmarkStart w:id="51" w:name="bookmark85"/>
      <w:bookmarkEnd w:id="51"/>
      <w:r>
        <w:rPr>
          <w:rFonts w:ascii="宋体" w:hAnsi="宋体" w:eastAsia="宋体" w:cs="宋体"/>
          <w:color w:val="407060"/>
          <w:spacing w:val="-3"/>
          <w:sz w:val="24"/>
          <w:szCs w:val="24"/>
        </w:rPr>
        <w:t>学反应、衍生成其他有毒有害物质，</w:t>
      </w:r>
      <w:r>
        <w:rPr>
          <w:rFonts w:ascii="宋体" w:hAnsi="宋体" w:eastAsia="宋体" w:cs="宋体"/>
          <w:spacing w:val="-3"/>
          <w:sz w:val="24"/>
          <w:szCs w:val="24"/>
        </w:rPr>
        <w:t>有条件的地区可同时开展水生生物指标的监</w:t>
      </w:r>
      <w:r>
        <w:rPr>
          <w:rFonts w:ascii="宋体" w:hAnsi="宋体" w:eastAsia="宋体" w:cs="宋体"/>
          <w:spacing w:val="14"/>
          <w:sz w:val="24"/>
          <w:szCs w:val="24"/>
        </w:rPr>
        <w:t xml:space="preserve"> </w:t>
      </w:r>
      <w:r>
        <w:rPr>
          <w:rFonts w:ascii="宋体" w:hAnsi="宋体" w:eastAsia="宋体" w:cs="宋体"/>
          <w:spacing w:val="-3"/>
          <w:sz w:val="24"/>
          <w:szCs w:val="24"/>
        </w:rPr>
        <w:t>测，为后期损害评估提供第一手资料。</w:t>
      </w:r>
    </w:p>
    <w:p w14:paraId="701DCDC5">
      <w:pPr>
        <w:spacing w:before="20" w:line="294" w:lineRule="auto"/>
        <w:ind w:right="23" w:firstLine="600"/>
        <w:rPr>
          <w:rFonts w:ascii="宋体" w:hAnsi="宋体" w:eastAsia="宋体" w:cs="宋体"/>
          <w:sz w:val="24"/>
          <w:szCs w:val="24"/>
        </w:rPr>
      </w:pPr>
      <w:r>
        <w:rPr>
          <w:rFonts w:ascii="宋体" w:hAnsi="宋体" w:eastAsia="宋体" w:cs="宋体"/>
          <w:spacing w:val="4"/>
          <w:sz w:val="24"/>
          <w:szCs w:val="24"/>
        </w:rPr>
        <w:t>(5)分析方法。具备现场监测条件的监测项目，应尽量在现场监测。必要</w:t>
      </w:r>
      <w:r>
        <w:rPr>
          <w:rFonts w:ascii="宋体" w:hAnsi="宋体" w:eastAsia="宋体" w:cs="宋体"/>
          <w:sz w:val="24"/>
          <w:szCs w:val="24"/>
        </w:rPr>
        <w:t xml:space="preserve">  </w:t>
      </w:r>
      <w:r>
        <w:rPr>
          <w:rFonts w:ascii="宋体" w:hAnsi="宋体" w:eastAsia="宋体" w:cs="宋体"/>
          <w:spacing w:val="7"/>
          <w:sz w:val="24"/>
          <w:szCs w:val="24"/>
        </w:rPr>
        <w:t>时，备份样品送实验室监(复)测，以确认现场定性或定量监测</w:t>
      </w:r>
      <w:r>
        <w:rPr>
          <w:rFonts w:ascii="宋体" w:hAnsi="宋体" w:eastAsia="宋体" w:cs="宋体"/>
          <w:spacing w:val="6"/>
          <w:sz w:val="24"/>
          <w:szCs w:val="24"/>
        </w:rPr>
        <w:t>结果的准确性。</w:t>
      </w:r>
    </w:p>
    <w:p w14:paraId="06B07583">
      <w:pPr>
        <w:spacing w:before="183" w:line="218" w:lineRule="auto"/>
        <w:ind w:left="600"/>
        <w:rPr>
          <w:rFonts w:ascii="宋体" w:hAnsi="宋体" w:eastAsia="宋体" w:cs="宋体"/>
          <w:sz w:val="24"/>
          <w:szCs w:val="24"/>
        </w:rPr>
      </w:pPr>
      <w:r>
        <w:rPr>
          <w:rFonts w:ascii="宋体" w:hAnsi="宋体" w:eastAsia="宋体" w:cs="宋体"/>
          <w:spacing w:val="4"/>
          <w:sz w:val="24"/>
          <w:szCs w:val="24"/>
        </w:rPr>
        <w:t>(6)监测结果与数据报告。应按照有关监测技术规范进行数据处理。监测</w:t>
      </w:r>
    </w:p>
    <w:p w14:paraId="1A9C7218">
      <w:pPr>
        <w:spacing w:before="177" w:line="219" w:lineRule="auto"/>
        <w:rPr>
          <w:rFonts w:ascii="宋体" w:hAnsi="宋体" w:eastAsia="宋体" w:cs="宋体"/>
          <w:sz w:val="24"/>
          <w:szCs w:val="24"/>
        </w:rPr>
      </w:pPr>
      <w:r>
        <w:rPr>
          <w:rFonts w:ascii="宋体" w:hAnsi="宋体" w:eastAsia="宋体" w:cs="宋体"/>
          <w:color w:val="407060"/>
          <w:spacing w:val="-3"/>
          <w:sz w:val="24"/>
          <w:szCs w:val="24"/>
        </w:rPr>
        <w:t>结果可用定性、半定量或定量方式报出。</w:t>
      </w:r>
      <w:r>
        <w:rPr>
          <w:rFonts w:ascii="宋体" w:hAnsi="宋体" w:eastAsia="宋体" w:cs="宋体"/>
          <w:color w:val="207050"/>
          <w:spacing w:val="-3"/>
          <w:sz w:val="24"/>
          <w:szCs w:val="24"/>
        </w:rPr>
        <w:t>监测结果可采用电话、传真、</w:t>
      </w:r>
      <w:r>
        <w:rPr>
          <w:rFonts w:ascii="宋体" w:hAnsi="宋体" w:eastAsia="宋体" w:cs="宋体"/>
          <w:color w:val="407060"/>
          <w:spacing w:val="-3"/>
          <w:sz w:val="24"/>
          <w:szCs w:val="24"/>
        </w:rPr>
        <w:t>快报、简</w:t>
      </w:r>
    </w:p>
    <w:p w14:paraId="340EC537">
      <w:pPr>
        <w:spacing w:before="174" w:line="218" w:lineRule="auto"/>
        <w:rPr>
          <w:rFonts w:ascii="宋体" w:hAnsi="宋体" w:eastAsia="宋体" w:cs="宋体"/>
          <w:sz w:val="24"/>
          <w:szCs w:val="24"/>
        </w:rPr>
      </w:pPr>
      <w:r>
        <w:rPr>
          <w:rFonts w:ascii="宋体" w:hAnsi="宋体" w:eastAsia="宋体" w:cs="宋体"/>
          <w:spacing w:val="-1"/>
          <w:sz w:val="24"/>
          <w:szCs w:val="24"/>
        </w:rPr>
        <w:t>报、监测报告等形式第一时间报告现场应急指挥部。</w:t>
      </w:r>
    </w:p>
    <w:p w14:paraId="5584E483">
      <w:pPr>
        <w:spacing w:before="188" w:line="356" w:lineRule="auto"/>
        <w:ind w:right="103" w:firstLine="600"/>
        <w:jc w:val="both"/>
        <w:rPr>
          <w:rFonts w:ascii="宋体" w:hAnsi="宋体" w:eastAsia="宋体" w:cs="宋体"/>
          <w:sz w:val="24"/>
          <w:szCs w:val="24"/>
        </w:rPr>
      </w:pPr>
      <w:r>
        <w:rPr>
          <w:rFonts w:ascii="宋体" w:hAnsi="宋体" w:eastAsia="宋体" w:cs="宋体"/>
          <w:spacing w:val="4"/>
          <w:sz w:val="24"/>
          <w:szCs w:val="24"/>
        </w:rPr>
        <w:t>(7)监测数据的质量保证。应急监测过程中的样品采集、现场监测、实验</w:t>
      </w:r>
      <w:r>
        <w:rPr>
          <w:rFonts w:ascii="宋体" w:hAnsi="宋体" w:eastAsia="宋体" w:cs="宋体"/>
          <w:spacing w:val="17"/>
          <w:sz w:val="24"/>
          <w:szCs w:val="24"/>
        </w:rPr>
        <w:t xml:space="preserve"> </w:t>
      </w:r>
      <w:r>
        <w:rPr>
          <w:rFonts w:ascii="宋体" w:hAnsi="宋体" w:eastAsia="宋体" w:cs="宋体"/>
          <w:spacing w:val="-2"/>
          <w:sz w:val="24"/>
          <w:szCs w:val="24"/>
        </w:rPr>
        <w:t>室监测、数据统计等环节，都应有质量控制措施，并对</w:t>
      </w:r>
      <w:r>
        <w:rPr>
          <w:rFonts w:ascii="宋体" w:hAnsi="宋体" w:eastAsia="宋体" w:cs="宋体"/>
          <w:spacing w:val="-3"/>
          <w:sz w:val="24"/>
          <w:szCs w:val="24"/>
        </w:rPr>
        <w:t>应急监测报告实行三级审</w:t>
      </w:r>
      <w:r>
        <w:rPr>
          <w:rFonts w:ascii="宋体" w:hAnsi="宋体" w:eastAsia="宋体" w:cs="宋体"/>
          <w:sz w:val="24"/>
          <w:szCs w:val="24"/>
        </w:rPr>
        <w:t xml:space="preserve"> </w:t>
      </w:r>
      <w:r>
        <w:rPr>
          <w:rFonts w:ascii="宋体" w:hAnsi="宋体" w:eastAsia="宋体" w:cs="宋体"/>
          <w:spacing w:val="-7"/>
          <w:sz w:val="24"/>
          <w:szCs w:val="24"/>
        </w:rPr>
        <w:t>核。</w:t>
      </w:r>
    </w:p>
    <w:p w14:paraId="47C0D168">
      <w:pPr>
        <w:spacing w:before="81" w:line="220" w:lineRule="auto"/>
        <w:outlineLvl w:val="1"/>
        <w:rPr>
          <w:rFonts w:ascii="宋体" w:hAnsi="宋体" w:eastAsia="宋体" w:cs="宋体"/>
          <w:sz w:val="28"/>
          <w:szCs w:val="28"/>
        </w:rPr>
      </w:pPr>
      <w:bookmarkStart w:id="52" w:name="bookmark36"/>
      <w:bookmarkEnd w:id="52"/>
      <w:r>
        <w:rPr>
          <w:rFonts w:ascii="宋体" w:hAnsi="宋体" w:eastAsia="宋体" w:cs="宋体"/>
          <w:color w:val="606070"/>
          <w:spacing w:val="-1"/>
          <w:sz w:val="28"/>
          <w:szCs w:val="28"/>
        </w:rPr>
        <w:t>4.</w:t>
      </w:r>
      <w:r>
        <w:rPr>
          <w:rFonts w:ascii="宋体" w:hAnsi="宋体" w:eastAsia="宋体" w:cs="宋体"/>
          <w:b/>
          <w:bCs/>
          <w:color w:val="606070"/>
          <w:spacing w:val="-1"/>
          <w:sz w:val="28"/>
          <w:szCs w:val="28"/>
        </w:rPr>
        <w:t>5污染源排查与处置</w:t>
      </w:r>
    </w:p>
    <w:p w14:paraId="0CB0FC3B">
      <w:pPr>
        <w:spacing w:before="224" w:line="219" w:lineRule="auto"/>
        <w:outlineLvl w:val="2"/>
        <w:rPr>
          <w:rFonts w:ascii="宋体" w:hAnsi="宋体" w:eastAsia="宋体" w:cs="宋体"/>
          <w:sz w:val="24"/>
          <w:szCs w:val="24"/>
        </w:rPr>
      </w:pPr>
      <w:bookmarkStart w:id="53" w:name="bookmark37"/>
      <w:bookmarkEnd w:id="53"/>
      <w:r>
        <w:rPr>
          <w:rFonts w:ascii="宋体" w:hAnsi="宋体" w:eastAsia="宋体" w:cs="宋体"/>
          <w:sz w:val="24"/>
          <w:szCs w:val="24"/>
        </w:rPr>
        <w:t>4.5.</w:t>
      </w:r>
      <w:r>
        <w:rPr>
          <w:rFonts w:ascii="宋体" w:hAnsi="宋体" w:eastAsia="宋体" w:cs="宋体"/>
          <w:b/>
          <w:bCs/>
          <w:sz w:val="24"/>
          <w:szCs w:val="24"/>
        </w:rPr>
        <w:t>1明确排查对象</w:t>
      </w:r>
    </w:p>
    <w:p w14:paraId="21A52FC1">
      <w:pPr>
        <w:spacing w:before="200" w:line="355" w:lineRule="auto"/>
        <w:ind w:right="3" w:firstLine="509"/>
        <w:jc w:val="both"/>
        <w:rPr>
          <w:rFonts w:ascii="宋体" w:hAnsi="宋体" w:eastAsia="宋体" w:cs="宋体"/>
          <w:sz w:val="24"/>
          <w:szCs w:val="24"/>
        </w:rPr>
      </w:pPr>
      <w:r>
        <w:rPr>
          <w:rFonts w:ascii="宋体" w:hAnsi="宋体" w:eastAsia="宋体" w:cs="宋体"/>
          <w:spacing w:val="-3"/>
          <w:sz w:val="24"/>
          <w:szCs w:val="24"/>
        </w:rPr>
        <w:t>当水质监测发现异常、污染物来源不确定时，由包头市生态环境局石拐区分</w:t>
      </w:r>
      <w:r>
        <w:rPr>
          <w:rFonts w:ascii="宋体" w:hAnsi="宋体" w:eastAsia="宋体" w:cs="宋体"/>
          <w:spacing w:val="8"/>
          <w:sz w:val="24"/>
          <w:szCs w:val="24"/>
        </w:rPr>
        <w:t xml:space="preserve"> </w:t>
      </w:r>
      <w:r>
        <w:rPr>
          <w:rFonts w:ascii="宋体" w:hAnsi="宋体" w:eastAsia="宋体" w:cs="宋体"/>
          <w:spacing w:val="-6"/>
          <w:sz w:val="24"/>
          <w:szCs w:val="24"/>
        </w:rPr>
        <w:t>局负责污染源排查工作，排查工作由局长主持，根据特征污染物种类</w:t>
      </w:r>
      <w:r>
        <w:rPr>
          <w:rFonts w:ascii="宋体" w:hAnsi="宋体" w:eastAsia="宋体" w:cs="宋体"/>
          <w:spacing w:val="-7"/>
          <w:sz w:val="24"/>
          <w:szCs w:val="24"/>
        </w:rPr>
        <w:t>、浓度变化、</w:t>
      </w:r>
      <w:r>
        <w:rPr>
          <w:rFonts w:ascii="宋体" w:hAnsi="宋体" w:eastAsia="宋体" w:cs="宋体"/>
          <w:sz w:val="24"/>
          <w:szCs w:val="24"/>
        </w:rPr>
        <w:t xml:space="preserve"> </w:t>
      </w:r>
      <w:r>
        <w:rPr>
          <w:rFonts w:ascii="宋体" w:hAnsi="宋体" w:eastAsia="宋体" w:cs="宋体"/>
          <w:spacing w:val="-3"/>
          <w:sz w:val="24"/>
          <w:szCs w:val="24"/>
        </w:rPr>
        <w:t>释放总量、释放路径、释放时间，以及当时的水文和气象条件，迅速组织开展污</w:t>
      </w:r>
      <w:r>
        <w:rPr>
          <w:rFonts w:ascii="宋体" w:hAnsi="宋体" w:eastAsia="宋体" w:cs="宋体"/>
          <w:spacing w:val="8"/>
          <w:sz w:val="24"/>
          <w:szCs w:val="24"/>
        </w:rPr>
        <w:t xml:space="preserve">  </w:t>
      </w:r>
      <w:r>
        <w:rPr>
          <w:rFonts w:ascii="宋体" w:hAnsi="宋体" w:eastAsia="宋体" w:cs="宋体"/>
          <w:spacing w:val="-4"/>
          <w:sz w:val="24"/>
          <w:szCs w:val="24"/>
        </w:rPr>
        <w:t>染源排查。</w:t>
      </w:r>
    </w:p>
    <w:p w14:paraId="20C930F4">
      <w:pPr>
        <w:spacing w:before="13" w:line="219" w:lineRule="auto"/>
        <w:ind w:left="499"/>
        <w:rPr>
          <w:rFonts w:ascii="宋体" w:hAnsi="宋体" w:eastAsia="宋体" w:cs="宋体"/>
          <w:sz w:val="24"/>
          <w:szCs w:val="24"/>
        </w:rPr>
      </w:pPr>
      <w:r>
        <w:rPr>
          <w:rFonts w:ascii="宋体" w:hAnsi="宋体" w:eastAsia="宋体" w:cs="宋体"/>
          <w:spacing w:val="-1"/>
          <w:sz w:val="24"/>
          <w:szCs w:val="24"/>
        </w:rPr>
        <w:t>针对不同类型污染物的排查重点和对象如下。</w:t>
      </w:r>
    </w:p>
    <w:p w14:paraId="234DBF9B">
      <w:pPr>
        <w:spacing w:before="193" w:line="291" w:lineRule="auto"/>
        <w:ind w:right="133" w:firstLine="600"/>
        <w:rPr>
          <w:rFonts w:ascii="宋体" w:hAnsi="宋体" w:eastAsia="宋体" w:cs="宋体"/>
          <w:sz w:val="24"/>
          <w:szCs w:val="24"/>
        </w:rPr>
      </w:pPr>
      <w:r>
        <w:rPr>
          <w:rFonts w:ascii="宋体" w:hAnsi="宋体" w:eastAsia="宋体" w:cs="宋体"/>
          <w:sz w:val="24"/>
          <w:szCs w:val="24"/>
        </w:rPr>
        <w:t xml:space="preserve">(1)有机类污染： </w:t>
      </w:r>
      <w:r>
        <w:rPr>
          <w:rFonts w:ascii="宋体" w:hAnsi="宋体" w:eastAsia="宋体" w:cs="宋体"/>
          <w:color w:val="606070"/>
          <w:sz w:val="24"/>
          <w:szCs w:val="24"/>
        </w:rPr>
        <w:t>重点排查城镇生活污水处理厂、</w:t>
      </w:r>
      <w:r>
        <w:rPr>
          <w:rFonts w:ascii="宋体" w:hAnsi="宋体" w:eastAsia="宋体" w:cs="宋体"/>
          <w:sz w:val="24"/>
          <w:szCs w:val="24"/>
        </w:rPr>
        <w:t>工业企业，调查污水处</w:t>
      </w:r>
      <w:r>
        <w:rPr>
          <w:rFonts w:ascii="宋体" w:hAnsi="宋体" w:eastAsia="宋体" w:cs="宋体"/>
          <w:spacing w:val="9"/>
          <w:sz w:val="24"/>
          <w:szCs w:val="24"/>
        </w:rPr>
        <w:t xml:space="preserve"> </w:t>
      </w:r>
      <w:r>
        <w:rPr>
          <w:rFonts w:ascii="宋体" w:hAnsi="宋体" w:eastAsia="宋体" w:cs="宋体"/>
          <w:spacing w:val="-2"/>
          <w:sz w:val="24"/>
          <w:szCs w:val="24"/>
        </w:rPr>
        <w:t>理设施运行、尾水排放的异常情况。</w:t>
      </w:r>
    </w:p>
    <w:p w14:paraId="39AC76DE">
      <w:pPr>
        <w:spacing w:before="177" w:line="326" w:lineRule="auto"/>
        <w:ind w:right="108" w:firstLine="600"/>
        <w:rPr>
          <w:rFonts w:ascii="宋体" w:hAnsi="宋体" w:eastAsia="宋体" w:cs="宋体"/>
          <w:sz w:val="24"/>
          <w:szCs w:val="24"/>
        </w:rPr>
      </w:pPr>
      <w:r>
        <w:rPr>
          <w:rFonts w:ascii="宋体" w:hAnsi="宋体" w:eastAsia="宋体" w:cs="宋体"/>
          <w:spacing w:val="4"/>
          <w:sz w:val="24"/>
          <w:szCs w:val="24"/>
        </w:rPr>
        <w:t>(2)营养盐类污染：重点排查城镇生活污水处理厂、工业企业、</w:t>
      </w:r>
      <w:r>
        <w:rPr>
          <w:rFonts w:ascii="宋体" w:hAnsi="宋体" w:eastAsia="宋体" w:cs="宋体"/>
          <w:spacing w:val="3"/>
          <w:sz w:val="24"/>
          <w:szCs w:val="24"/>
        </w:rPr>
        <w:t>畜禽养殖</w:t>
      </w:r>
      <w:r>
        <w:rPr>
          <w:rFonts w:ascii="宋体" w:hAnsi="宋体" w:eastAsia="宋体" w:cs="宋体"/>
          <w:sz w:val="24"/>
          <w:szCs w:val="24"/>
        </w:rPr>
        <w:t xml:space="preserve"> </w:t>
      </w:r>
      <w:r>
        <w:rPr>
          <w:rFonts w:ascii="宋体" w:hAnsi="宋体" w:eastAsia="宋体" w:cs="宋体"/>
          <w:spacing w:val="4"/>
          <w:sz w:val="24"/>
          <w:szCs w:val="24"/>
        </w:rPr>
        <w:t>场(户)、农田种植户、农村居民点、医疗场所等，调查污水处理设施运行、养</w:t>
      </w:r>
      <w:r>
        <w:rPr>
          <w:rFonts w:ascii="宋体" w:hAnsi="宋体" w:eastAsia="宋体" w:cs="宋体"/>
          <w:spacing w:val="10"/>
          <w:sz w:val="24"/>
          <w:szCs w:val="24"/>
        </w:rPr>
        <w:t xml:space="preserve"> </w:t>
      </w:r>
      <w:r>
        <w:rPr>
          <w:rFonts w:ascii="宋体" w:hAnsi="宋体" w:eastAsia="宋体" w:cs="宋体"/>
          <w:spacing w:val="-3"/>
          <w:sz w:val="24"/>
          <w:szCs w:val="24"/>
        </w:rPr>
        <w:t>殖废物处理处置、农药化肥施用、农村生活污染、医疗废水处理及消毒设施的异</w:t>
      </w:r>
      <w:r>
        <w:rPr>
          <w:rFonts w:ascii="宋体" w:hAnsi="宋体" w:eastAsia="宋体" w:cs="宋体"/>
          <w:spacing w:val="18"/>
          <w:sz w:val="24"/>
          <w:szCs w:val="24"/>
        </w:rPr>
        <w:t xml:space="preserve"> </w:t>
      </w:r>
      <w:r>
        <w:rPr>
          <w:rFonts w:ascii="宋体" w:hAnsi="宋体" w:eastAsia="宋体" w:cs="宋体"/>
          <w:spacing w:val="-10"/>
          <w:sz w:val="24"/>
          <w:szCs w:val="24"/>
        </w:rPr>
        <w:t>常情况。</w:t>
      </w:r>
    </w:p>
    <w:p w14:paraId="190656FE">
      <w:pPr>
        <w:spacing w:before="172" w:line="317" w:lineRule="auto"/>
        <w:ind w:right="113" w:firstLine="600"/>
        <w:rPr>
          <w:rFonts w:ascii="宋体" w:hAnsi="宋体" w:eastAsia="宋体" w:cs="宋体"/>
          <w:sz w:val="24"/>
          <w:szCs w:val="24"/>
        </w:rPr>
      </w:pPr>
      <w:r>
        <w:rPr>
          <w:rFonts w:ascii="宋体" w:hAnsi="宋体" w:eastAsia="宋体" w:cs="宋体"/>
          <w:spacing w:val="11"/>
          <w:sz w:val="24"/>
          <w:szCs w:val="24"/>
        </w:rPr>
        <w:t>(3)细菌类污染：重点排查城镇生活污水</w:t>
      </w:r>
      <w:r>
        <w:rPr>
          <w:rFonts w:ascii="宋体" w:hAnsi="宋体" w:eastAsia="宋体" w:cs="宋体"/>
          <w:spacing w:val="10"/>
          <w:sz w:val="24"/>
          <w:szCs w:val="24"/>
        </w:rPr>
        <w:t>处理厂、畜禽养殖(户)、农村</w:t>
      </w:r>
      <w:r>
        <w:rPr>
          <w:rFonts w:ascii="宋体" w:hAnsi="宋体" w:eastAsia="宋体" w:cs="宋体"/>
          <w:sz w:val="24"/>
          <w:szCs w:val="24"/>
        </w:rPr>
        <w:t xml:space="preserve"> </w:t>
      </w:r>
      <w:r>
        <w:rPr>
          <w:rFonts w:ascii="宋体" w:hAnsi="宋体" w:eastAsia="宋体" w:cs="宋体"/>
          <w:spacing w:val="-3"/>
          <w:sz w:val="24"/>
          <w:szCs w:val="24"/>
        </w:rPr>
        <w:t>居民点，调查污水处理设施运行、养殖废物处理处置、医疗场所、农村生活污染</w:t>
      </w:r>
      <w:r>
        <w:rPr>
          <w:rFonts w:ascii="宋体" w:hAnsi="宋体" w:eastAsia="宋体" w:cs="宋体"/>
          <w:spacing w:val="14"/>
          <w:sz w:val="24"/>
          <w:szCs w:val="24"/>
        </w:rPr>
        <w:t xml:space="preserve"> </w:t>
      </w:r>
      <w:r>
        <w:rPr>
          <w:rFonts w:ascii="宋体" w:hAnsi="宋体" w:eastAsia="宋体" w:cs="宋体"/>
          <w:spacing w:val="-6"/>
          <w:sz w:val="24"/>
          <w:szCs w:val="24"/>
        </w:rPr>
        <w:t>的异常情况。</w:t>
      </w:r>
    </w:p>
    <w:p w14:paraId="1C441B06">
      <w:pPr>
        <w:spacing w:before="184" w:line="287" w:lineRule="auto"/>
        <w:ind w:right="173" w:firstLine="600"/>
        <w:rPr>
          <w:rFonts w:ascii="宋体" w:hAnsi="宋体" w:eastAsia="宋体" w:cs="宋体"/>
          <w:sz w:val="24"/>
          <w:szCs w:val="24"/>
        </w:rPr>
      </w:pPr>
      <w:r>
        <w:rPr>
          <w:rFonts w:ascii="宋体" w:hAnsi="宋体" w:eastAsia="宋体" w:cs="宋体"/>
          <w:spacing w:val="6"/>
          <w:sz w:val="24"/>
          <w:szCs w:val="24"/>
        </w:rPr>
        <w:t>(4)农药类污染：重点排查农药制造有关的工业企业、果园种植园户)、</w:t>
      </w:r>
      <w:r>
        <w:rPr>
          <w:rFonts w:ascii="宋体" w:hAnsi="宋体" w:eastAsia="宋体" w:cs="宋体"/>
          <w:spacing w:val="10"/>
          <w:sz w:val="24"/>
          <w:szCs w:val="24"/>
        </w:rPr>
        <w:t xml:space="preserve"> </w:t>
      </w:r>
      <w:r>
        <w:rPr>
          <w:rFonts w:ascii="宋体" w:hAnsi="宋体" w:eastAsia="宋体" w:cs="宋体"/>
          <w:spacing w:val="-1"/>
          <w:sz w:val="24"/>
          <w:szCs w:val="24"/>
        </w:rPr>
        <w:t>农田种植户、农灌退水排放口，调查农药施用和流失的异常情况。</w:t>
      </w:r>
    </w:p>
    <w:p w14:paraId="13B07043">
      <w:pPr>
        <w:spacing w:before="185" w:line="219" w:lineRule="auto"/>
        <w:ind w:left="600"/>
        <w:rPr>
          <w:rFonts w:ascii="宋体" w:hAnsi="宋体" w:eastAsia="宋体" w:cs="宋体"/>
          <w:sz w:val="24"/>
          <w:szCs w:val="24"/>
        </w:rPr>
      </w:pPr>
      <w:r>
        <w:rPr>
          <w:rFonts w:ascii="宋体" w:hAnsi="宋体" w:eastAsia="宋体" w:cs="宋体"/>
          <w:spacing w:val="2"/>
          <w:sz w:val="24"/>
          <w:szCs w:val="24"/>
        </w:rPr>
        <w:t>(5)石油类污染：重点排查加油站、运输车辆、加工和存贮的工业企业，</w:t>
      </w:r>
    </w:p>
    <w:p w14:paraId="6A409A76">
      <w:pPr>
        <w:spacing w:line="219" w:lineRule="auto"/>
        <w:rPr>
          <w:rFonts w:ascii="宋体" w:hAnsi="宋体" w:eastAsia="宋体" w:cs="宋体"/>
          <w:sz w:val="24"/>
          <w:szCs w:val="24"/>
        </w:rPr>
        <w:sectPr>
          <w:footerReference r:id="rId30" w:type="default"/>
          <w:pgSz w:w="11910" w:h="16850"/>
          <w:pgMar w:top="1432" w:right="1786" w:bottom="1308" w:left="1700" w:header="0" w:footer="1076" w:gutter="0"/>
          <w:cols w:space="720" w:num="1"/>
        </w:sectPr>
      </w:pPr>
    </w:p>
    <w:p w14:paraId="12D6F63C">
      <w:pPr>
        <w:spacing w:before="67" w:line="219" w:lineRule="auto"/>
        <w:rPr>
          <w:rFonts w:ascii="宋体" w:hAnsi="宋体" w:eastAsia="宋体" w:cs="宋体"/>
          <w:sz w:val="24"/>
          <w:szCs w:val="24"/>
        </w:rPr>
      </w:pPr>
      <w:bookmarkStart w:id="54" w:name="bookmark86"/>
      <w:bookmarkEnd w:id="54"/>
      <w:r>
        <w:rPr>
          <w:rFonts w:ascii="宋体" w:hAnsi="宋体" w:eastAsia="宋体" w:cs="宋体"/>
          <w:spacing w:val="-2"/>
          <w:sz w:val="24"/>
          <w:szCs w:val="24"/>
        </w:rPr>
        <w:t>调查上述企业和单位的异常情况。</w:t>
      </w:r>
    </w:p>
    <w:p w14:paraId="218F6F27">
      <w:pPr>
        <w:spacing w:before="182" w:line="356" w:lineRule="auto"/>
        <w:ind w:right="121" w:firstLine="610"/>
        <w:jc w:val="both"/>
        <w:rPr>
          <w:rFonts w:ascii="宋体" w:hAnsi="宋体" w:eastAsia="宋体" w:cs="宋体"/>
          <w:sz w:val="24"/>
          <w:szCs w:val="24"/>
        </w:rPr>
      </w:pPr>
      <w:r>
        <w:rPr>
          <w:rFonts w:ascii="宋体" w:hAnsi="宋体" w:eastAsia="宋体" w:cs="宋体"/>
          <w:spacing w:val="1"/>
          <w:sz w:val="24"/>
          <w:szCs w:val="24"/>
        </w:rPr>
        <w:t>(6)重金属及其他有毒有害物质污染：重点排查采矿及选矿的工业企业(含</w:t>
      </w:r>
      <w:r>
        <w:rPr>
          <w:rFonts w:ascii="宋体" w:hAnsi="宋体" w:eastAsia="宋体" w:cs="宋体"/>
          <w:spacing w:val="6"/>
          <w:sz w:val="24"/>
          <w:szCs w:val="24"/>
        </w:rPr>
        <w:t xml:space="preserve"> </w:t>
      </w:r>
      <w:r>
        <w:rPr>
          <w:rFonts w:ascii="宋体" w:hAnsi="宋体" w:eastAsia="宋体" w:cs="宋体"/>
          <w:spacing w:val="1"/>
          <w:sz w:val="24"/>
          <w:szCs w:val="24"/>
        </w:rPr>
        <w:t>化工园区)、尾矿库、危险废物储存单位、危险品仓库和装卸码头、危化品运输</w:t>
      </w:r>
      <w:r>
        <w:rPr>
          <w:rFonts w:ascii="宋体" w:hAnsi="宋体" w:eastAsia="宋体" w:cs="宋体"/>
          <w:spacing w:val="13"/>
          <w:sz w:val="24"/>
          <w:szCs w:val="24"/>
        </w:rPr>
        <w:t xml:space="preserve"> </w:t>
      </w:r>
      <w:r>
        <w:rPr>
          <w:rFonts w:ascii="宋体" w:hAnsi="宋体" w:eastAsia="宋体" w:cs="宋体"/>
          <w:spacing w:val="-1"/>
          <w:sz w:val="24"/>
          <w:szCs w:val="24"/>
        </w:rPr>
        <w:t>车辆等，调查上述企业和单位的异常情况。</w:t>
      </w:r>
    </w:p>
    <w:p w14:paraId="3B974E60">
      <w:pPr>
        <w:spacing w:before="1" w:line="219" w:lineRule="auto"/>
        <w:outlineLvl w:val="2"/>
        <w:rPr>
          <w:rFonts w:ascii="宋体" w:hAnsi="宋体" w:eastAsia="宋体" w:cs="宋体"/>
          <w:sz w:val="24"/>
          <w:szCs w:val="24"/>
        </w:rPr>
      </w:pPr>
      <w:bookmarkStart w:id="55" w:name="bookmark38"/>
      <w:bookmarkEnd w:id="55"/>
      <w:r>
        <w:rPr>
          <w:rFonts w:ascii="宋体" w:hAnsi="宋体" w:eastAsia="宋体" w:cs="宋体"/>
          <w:sz w:val="24"/>
          <w:szCs w:val="24"/>
        </w:rPr>
        <w:t>4.5.</w:t>
      </w:r>
      <w:r>
        <w:rPr>
          <w:rFonts w:ascii="宋体" w:hAnsi="宋体" w:eastAsia="宋体" w:cs="宋体"/>
          <w:b/>
          <w:bCs/>
          <w:sz w:val="24"/>
          <w:szCs w:val="24"/>
        </w:rPr>
        <w:t>2切断污染源</w:t>
      </w:r>
    </w:p>
    <w:p w14:paraId="638B8129">
      <w:pPr>
        <w:spacing w:before="217" w:line="349" w:lineRule="auto"/>
        <w:ind w:right="121" w:firstLine="479"/>
        <w:rPr>
          <w:rFonts w:ascii="宋体" w:hAnsi="宋体" w:eastAsia="宋体" w:cs="宋体"/>
          <w:sz w:val="24"/>
          <w:szCs w:val="24"/>
        </w:rPr>
      </w:pPr>
      <w:r>
        <w:rPr>
          <w:rFonts w:ascii="宋体" w:hAnsi="宋体" w:eastAsia="宋体" w:cs="宋体"/>
          <w:spacing w:val="-2"/>
          <w:sz w:val="24"/>
          <w:szCs w:val="24"/>
        </w:rPr>
        <w:t>发生水源地突发环境事件时，处置措施主要采取切断污染源、收集和</w:t>
      </w:r>
      <w:r>
        <w:rPr>
          <w:rFonts w:ascii="宋体" w:hAnsi="宋体" w:eastAsia="宋体" w:cs="宋体"/>
          <w:spacing w:val="-3"/>
          <w:sz w:val="24"/>
          <w:szCs w:val="24"/>
        </w:rPr>
        <w:t>围堵污</w:t>
      </w:r>
      <w:r>
        <w:rPr>
          <w:rFonts w:ascii="宋体" w:hAnsi="宋体" w:eastAsia="宋体" w:cs="宋体"/>
          <w:sz w:val="24"/>
          <w:szCs w:val="24"/>
        </w:rPr>
        <w:t xml:space="preserve"> </w:t>
      </w:r>
      <w:r>
        <w:rPr>
          <w:rFonts w:ascii="宋体" w:hAnsi="宋体" w:eastAsia="宋体" w:cs="宋体"/>
          <w:spacing w:val="-2"/>
          <w:sz w:val="24"/>
          <w:szCs w:val="24"/>
        </w:rPr>
        <w:t>染物等，包括以下内容。</w:t>
      </w:r>
    </w:p>
    <w:p w14:paraId="196314C4">
      <w:pPr>
        <w:spacing w:before="33" w:line="282" w:lineRule="auto"/>
        <w:ind w:right="118" w:firstLine="610"/>
        <w:rPr>
          <w:rFonts w:ascii="宋体" w:hAnsi="宋体" w:eastAsia="宋体" w:cs="宋体"/>
          <w:sz w:val="24"/>
          <w:szCs w:val="24"/>
        </w:rPr>
      </w:pPr>
      <w:r>
        <w:rPr>
          <w:rFonts w:ascii="宋体" w:hAnsi="宋体" w:eastAsia="宋体" w:cs="宋体"/>
          <w:spacing w:val="5"/>
          <w:sz w:val="24"/>
          <w:szCs w:val="24"/>
        </w:rPr>
        <w:t>(1)对发生非正常排放或有毒有害物质泄漏的固定源突发环境事件，</w:t>
      </w:r>
      <w:r>
        <w:rPr>
          <w:rFonts w:ascii="宋体" w:hAnsi="宋体" w:eastAsia="宋体" w:cs="宋体"/>
          <w:spacing w:val="4"/>
          <w:sz w:val="24"/>
          <w:szCs w:val="24"/>
        </w:rPr>
        <w:t>应尽</w:t>
      </w:r>
      <w:r>
        <w:rPr>
          <w:rFonts w:ascii="宋体" w:hAnsi="宋体" w:eastAsia="宋体" w:cs="宋体"/>
          <w:sz w:val="24"/>
          <w:szCs w:val="24"/>
        </w:rPr>
        <w:t xml:space="preserve"> 快采取关闭、封堵、收集、转移等措施，切断污染源或泄漏源。</w:t>
      </w:r>
    </w:p>
    <w:p w14:paraId="3A18A8D1">
      <w:pPr>
        <w:spacing w:before="187" w:line="294" w:lineRule="auto"/>
        <w:ind w:right="117" w:firstLine="610"/>
        <w:rPr>
          <w:rFonts w:ascii="宋体" w:hAnsi="宋体" w:eastAsia="宋体" w:cs="宋体"/>
          <w:sz w:val="24"/>
          <w:szCs w:val="24"/>
        </w:rPr>
      </w:pPr>
      <w:r>
        <w:rPr>
          <w:rFonts w:ascii="宋体" w:hAnsi="宋体" w:eastAsia="宋体" w:cs="宋体"/>
          <w:spacing w:val="5"/>
          <w:sz w:val="24"/>
          <w:szCs w:val="24"/>
        </w:rPr>
        <w:t>(2)对道路交通运输过程中发生的流动源突发事件，可启动路面系统的导</w:t>
      </w:r>
      <w:r>
        <w:rPr>
          <w:rFonts w:ascii="宋体" w:hAnsi="宋体" w:eastAsia="宋体" w:cs="宋体"/>
          <w:sz w:val="24"/>
          <w:szCs w:val="24"/>
        </w:rPr>
        <w:t xml:space="preserve"> 流槽、应急</w:t>
      </w:r>
      <w:r>
        <w:rPr>
          <w:rFonts w:ascii="宋体" w:hAnsi="宋体" w:eastAsia="宋体" w:cs="宋体"/>
          <w:color w:val="606070"/>
          <w:sz w:val="24"/>
          <w:szCs w:val="24"/>
        </w:rPr>
        <w:t>池或紧急设置围堰、</w:t>
      </w:r>
      <w:r>
        <w:rPr>
          <w:rFonts w:ascii="宋体" w:hAnsi="宋体" w:eastAsia="宋体" w:cs="宋体"/>
          <w:sz w:val="24"/>
          <w:szCs w:val="24"/>
        </w:rPr>
        <w:t>闸坝等，对污染源进行围堵并收集污染物。</w:t>
      </w:r>
    </w:p>
    <w:p w14:paraId="26B7121F">
      <w:pPr>
        <w:spacing w:before="174" w:line="287" w:lineRule="auto"/>
        <w:ind w:right="121" w:firstLine="610"/>
        <w:rPr>
          <w:rFonts w:ascii="宋体" w:hAnsi="宋体" w:eastAsia="宋体" w:cs="宋体"/>
          <w:sz w:val="24"/>
          <w:szCs w:val="24"/>
        </w:rPr>
      </w:pPr>
      <w:r>
        <w:rPr>
          <w:rFonts w:ascii="宋体" w:hAnsi="宋体" w:eastAsia="宋体" w:cs="宋体"/>
          <w:color w:val="606070"/>
          <w:spacing w:val="5"/>
          <w:sz w:val="24"/>
          <w:szCs w:val="24"/>
        </w:rPr>
        <w:t>(3)启动应急收集系统集中收集陆域污染物，设立拦截设施，</w:t>
      </w:r>
      <w:r>
        <w:rPr>
          <w:rFonts w:ascii="宋体" w:hAnsi="宋体" w:eastAsia="宋体" w:cs="宋体"/>
          <w:spacing w:val="5"/>
          <w:sz w:val="24"/>
          <w:szCs w:val="24"/>
        </w:rPr>
        <w:t>防</w:t>
      </w:r>
      <w:r>
        <w:rPr>
          <w:rFonts w:ascii="宋体" w:hAnsi="宋体" w:eastAsia="宋体" w:cs="宋体"/>
          <w:spacing w:val="4"/>
          <w:sz w:val="24"/>
          <w:szCs w:val="24"/>
        </w:rPr>
        <w:t>止污染物</w:t>
      </w:r>
      <w:r>
        <w:rPr>
          <w:rFonts w:ascii="宋体" w:hAnsi="宋体" w:eastAsia="宋体" w:cs="宋体"/>
          <w:sz w:val="24"/>
          <w:szCs w:val="24"/>
        </w:rPr>
        <w:t xml:space="preserve"> </w:t>
      </w:r>
      <w:r>
        <w:rPr>
          <w:rFonts w:ascii="宋体" w:hAnsi="宋体" w:eastAsia="宋体" w:cs="宋体"/>
          <w:spacing w:val="-1"/>
          <w:sz w:val="24"/>
          <w:szCs w:val="24"/>
        </w:rPr>
        <w:t>在陆域漫延，组织有关部门对污染物进行回收处置。</w:t>
      </w:r>
    </w:p>
    <w:p w14:paraId="08847AB2">
      <w:pPr>
        <w:spacing w:before="185" w:line="219" w:lineRule="auto"/>
        <w:ind w:left="610"/>
        <w:rPr>
          <w:rFonts w:ascii="宋体" w:hAnsi="宋体" w:eastAsia="宋体" w:cs="宋体"/>
          <w:sz w:val="24"/>
          <w:szCs w:val="24"/>
        </w:rPr>
      </w:pPr>
      <w:r>
        <w:rPr>
          <w:rFonts w:ascii="宋体" w:hAnsi="宋体" w:eastAsia="宋体" w:cs="宋体"/>
          <w:color w:val="207050"/>
          <w:spacing w:val="-1"/>
          <w:sz w:val="24"/>
          <w:szCs w:val="24"/>
        </w:rPr>
        <w:t>(4)</w:t>
      </w:r>
      <w:r>
        <w:rPr>
          <w:rFonts w:ascii="宋体" w:hAnsi="宋体" w:eastAsia="宋体" w:cs="宋体"/>
          <w:color w:val="207050"/>
          <w:spacing w:val="32"/>
          <w:sz w:val="24"/>
          <w:szCs w:val="24"/>
        </w:rPr>
        <w:t xml:space="preserve"> </w:t>
      </w:r>
      <w:r>
        <w:rPr>
          <w:rFonts w:ascii="宋体" w:hAnsi="宋体" w:eastAsia="宋体" w:cs="宋体"/>
          <w:color w:val="207050"/>
          <w:spacing w:val="-1"/>
          <w:sz w:val="24"/>
          <w:szCs w:val="24"/>
        </w:rPr>
        <w:t>根据现场事态发展对扩散至水体的污</w:t>
      </w:r>
      <w:r>
        <w:rPr>
          <w:rFonts w:ascii="宋体" w:hAnsi="宋体" w:eastAsia="宋体" w:cs="宋体"/>
          <w:color w:val="207050"/>
          <w:spacing w:val="-2"/>
          <w:sz w:val="24"/>
          <w:szCs w:val="24"/>
        </w:rPr>
        <w:t>染物进行处置。</w:t>
      </w:r>
    </w:p>
    <w:p w14:paraId="4E3C50E5">
      <w:pPr>
        <w:spacing w:before="227" w:line="221" w:lineRule="auto"/>
        <w:outlineLvl w:val="1"/>
        <w:rPr>
          <w:rFonts w:ascii="宋体" w:hAnsi="宋体" w:eastAsia="宋体" w:cs="宋体"/>
          <w:sz w:val="28"/>
          <w:szCs w:val="28"/>
        </w:rPr>
      </w:pPr>
      <w:bookmarkStart w:id="56" w:name="bookmark39"/>
      <w:bookmarkEnd w:id="56"/>
      <w:r>
        <w:rPr>
          <w:rFonts w:ascii="宋体" w:hAnsi="宋体" w:eastAsia="宋体" w:cs="宋体"/>
          <w:sz w:val="28"/>
          <w:szCs w:val="28"/>
        </w:rPr>
        <w:t>4.</w:t>
      </w:r>
      <w:r>
        <w:rPr>
          <w:rFonts w:ascii="宋体" w:hAnsi="宋体" w:eastAsia="宋体" w:cs="宋体"/>
          <w:b/>
          <w:bCs/>
          <w:sz w:val="28"/>
          <w:szCs w:val="28"/>
        </w:rPr>
        <w:t>6应急处置</w:t>
      </w:r>
    </w:p>
    <w:p w14:paraId="78684772">
      <w:pPr>
        <w:spacing w:before="221" w:line="220" w:lineRule="auto"/>
        <w:outlineLvl w:val="2"/>
        <w:rPr>
          <w:rFonts w:ascii="宋体" w:hAnsi="宋体" w:eastAsia="宋体" w:cs="宋体"/>
          <w:sz w:val="26"/>
          <w:szCs w:val="26"/>
        </w:rPr>
      </w:pPr>
      <w:bookmarkStart w:id="57" w:name="bookmark40"/>
      <w:bookmarkEnd w:id="57"/>
      <w:r>
        <w:rPr>
          <w:rFonts w:ascii="宋体" w:hAnsi="宋体" w:eastAsia="宋体" w:cs="宋体"/>
          <w:spacing w:val="-14"/>
          <w:sz w:val="26"/>
          <w:szCs w:val="26"/>
        </w:rPr>
        <w:t>4.6.</w:t>
      </w:r>
      <w:r>
        <w:rPr>
          <w:rFonts w:ascii="宋体" w:hAnsi="宋体" w:eastAsia="宋体" w:cs="宋体"/>
          <w:b/>
          <w:bCs/>
          <w:spacing w:val="-14"/>
          <w:sz w:val="26"/>
          <w:szCs w:val="26"/>
        </w:rPr>
        <w:t>1制定现场处置方案</w:t>
      </w:r>
    </w:p>
    <w:p w14:paraId="490F464D">
      <w:pPr>
        <w:spacing w:before="204" w:line="355" w:lineRule="auto"/>
        <w:ind w:right="33" w:firstLine="479"/>
        <w:jc w:val="both"/>
        <w:rPr>
          <w:rFonts w:ascii="宋体" w:hAnsi="宋体" w:eastAsia="宋体" w:cs="宋体"/>
          <w:sz w:val="24"/>
          <w:szCs w:val="24"/>
        </w:rPr>
      </w:pPr>
      <w:r>
        <w:rPr>
          <w:rFonts w:ascii="宋体" w:hAnsi="宋体" w:eastAsia="宋体" w:cs="宋体"/>
          <w:spacing w:val="-2"/>
          <w:sz w:val="24"/>
          <w:szCs w:val="24"/>
        </w:rPr>
        <w:t>石拐区政府接到报告后，立即启动本级应急响应，同时按照预案中</w:t>
      </w:r>
      <w:r>
        <w:rPr>
          <w:rFonts w:ascii="宋体" w:hAnsi="宋体" w:eastAsia="宋体" w:cs="宋体"/>
          <w:spacing w:val="-3"/>
          <w:sz w:val="24"/>
          <w:szCs w:val="24"/>
        </w:rPr>
        <w:t>规定组成</w:t>
      </w:r>
      <w:r>
        <w:rPr>
          <w:rFonts w:ascii="宋体" w:hAnsi="宋体" w:eastAsia="宋体" w:cs="宋体"/>
          <w:sz w:val="24"/>
          <w:szCs w:val="24"/>
        </w:rPr>
        <w:t xml:space="preserve"> </w:t>
      </w:r>
      <w:r>
        <w:rPr>
          <w:rFonts w:ascii="宋体" w:hAnsi="宋体" w:eastAsia="宋体" w:cs="宋体"/>
          <w:color w:val="606070"/>
          <w:spacing w:val="-1"/>
          <w:sz w:val="24"/>
          <w:szCs w:val="24"/>
        </w:rPr>
        <w:t>成员名单成立指挥部对事故进行指挥协调处</w:t>
      </w:r>
      <w:r>
        <w:rPr>
          <w:rFonts w:ascii="宋体" w:hAnsi="宋体" w:eastAsia="宋体" w:cs="宋体"/>
          <w:color w:val="606070"/>
          <w:spacing w:val="-2"/>
          <w:sz w:val="24"/>
          <w:szCs w:val="24"/>
        </w:rPr>
        <w:t>置，</w:t>
      </w:r>
      <w:r>
        <w:rPr>
          <w:rFonts w:ascii="宋体" w:hAnsi="宋体" w:eastAsia="宋体" w:cs="宋体"/>
          <w:spacing w:val="-2"/>
          <w:sz w:val="24"/>
          <w:szCs w:val="24"/>
        </w:rPr>
        <w:t>并采取以下处置措施：核实突发</w:t>
      </w:r>
      <w:r>
        <w:rPr>
          <w:rFonts w:ascii="宋体" w:hAnsi="宋体" w:eastAsia="宋体" w:cs="宋体"/>
          <w:sz w:val="24"/>
          <w:szCs w:val="24"/>
        </w:rPr>
        <w:t xml:space="preserve"> </w:t>
      </w:r>
      <w:r>
        <w:rPr>
          <w:rFonts w:ascii="宋体" w:hAnsi="宋体" w:eastAsia="宋体" w:cs="宋体"/>
          <w:spacing w:val="-6"/>
          <w:sz w:val="24"/>
          <w:szCs w:val="24"/>
        </w:rPr>
        <w:t>环境事件准确信息及现场处置相关情况，</w:t>
      </w:r>
      <w:r>
        <w:rPr>
          <w:rFonts w:ascii="宋体" w:hAnsi="宋体" w:eastAsia="宋体" w:cs="宋体"/>
          <w:color w:val="606070"/>
          <w:spacing w:val="-6"/>
          <w:sz w:val="24"/>
          <w:szCs w:val="24"/>
        </w:rPr>
        <w:t>初步判定事件级别，</w:t>
      </w:r>
      <w:r>
        <w:rPr>
          <w:rFonts w:ascii="宋体" w:hAnsi="宋体" w:eastAsia="宋体" w:cs="宋体"/>
          <w:spacing w:val="-6"/>
          <w:sz w:val="24"/>
          <w:szCs w:val="24"/>
        </w:rPr>
        <w:t>报送指挥</w:t>
      </w:r>
      <w:r>
        <w:rPr>
          <w:rFonts w:ascii="宋体" w:hAnsi="宋体" w:eastAsia="宋体" w:cs="宋体"/>
          <w:spacing w:val="-7"/>
          <w:sz w:val="24"/>
          <w:szCs w:val="24"/>
        </w:rPr>
        <w:t>部办公室；</w:t>
      </w:r>
      <w:r>
        <w:rPr>
          <w:rFonts w:ascii="宋体" w:hAnsi="宋体" w:eastAsia="宋体" w:cs="宋体"/>
          <w:sz w:val="24"/>
          <w:szCs w:val="24"/>
        </w:rPr>
        <w:t xml:space="preserve"> </w:t>
      </w:r>
      <w:r>
        <w:rPr>
          <w:rFonts w:ascii="宋体" w:hAnsi="宋体" w:eastAsia="宋体" w:cs="宋体"/>
          <w:spacing w:val="-2"/>
          <w:sz w:val="24"/>
          <w:szCs w:val="24"/>
        </w:rPr>
        <w:t>组织相关专业部门和专家对事态发展趋势进行研判，立即开展应急监测，研究制</w:t>
      </w:r>
      <w:r>
        <w:rPr>
          <w:rFonts w:ascii="宋体" w:hAnsi="宋体" w:eastAsia="宋体" w:cs="宋体"/>
          <w:spacing w:val="9"/>
          <w:sz w:val="24"/>
          <w:szCs w:val="24"/>
        </w:rPr>
        <w:t xml:space="preserve"> </w:t>
      </w:r>
      <w:r>
        <w:rPr>
          <w:rFonts w:ascii="宋体" w:hAnsi="宋体" w:eastAsia="宋体" w:cs="宋体"/>
          <w:spacing w:val="-2"/>
          <w:sz w:val="24"/>
          <w:szCs w:val="24"/>
        </w:rPr>
        <w:t>定处置方案；视情况组织疏散撤离受到污染威胁的人员；组织有关部门单位采取</w:t>
      </w:r>
      <w:r>
        <w:rPr>
          <w:rFonts w:ascii="宋体" w:hAnsi="宋体" w:eastAsia="宋体" w:cs="宋体"/>
          <w:sz w:val="24"/>
          <w:szCs w:val="24"/>
        </w:rPr>
        <w:t xml:space="preserve"> </w:t>
      </w:r>
      <w:r>
        <w:rPr>
          <w:rFonts w:ascii="宋体" w:hAnsi="宋体" w:eastAsia="宋体" w:cs="宋体"/>
          <w:spacing w:val="-2"/>
          <w:sz w:val="24"/>
          <w:szCs w:val="24"/>
        </w:rPr>
        <w:t>有效措施减轻污染危害；成立现场指挥部，根据现场实际情况，采取其他一切必</w:t>
      </w:r>
      <w:r>
        <w:rPr>
          <w:rFonts w:ascii="宋体" w:hAnsi="宋体" w:eastAsia="宋体" w:cs="宋体"/>
          <w:spacing w:val="8"/>
          <w:sz w:val="24"/>
          <w:szCs w:val="24"/>
        </w:rPr>
        <w:t xml:space="preserve"> </w:t>
      </w:r>
      <w:r>
        <w:rPr>
          <w:rFonts w:ascii="宋体" w:hAnsi="宋体" w:eastAsia="宋体" w:cs="宋体"/>
          <w:spacing w:val="-2"/>
          <w:sz w:val="24"/>
          <w:szCs w:val="24"/>
        </w:rPr>
        <w:t>要的科学措施进行现场处置，根据现场处置需求，立即调度物资和社会资源。指</w:t>
      </w:r>
      <w:r>
        <w:rPr>
          <w:rFonts w:ascii="宋体" w:hAnsi="宋体" w:eastAsia="宋体" w:cs="宋体"/>
          <w:spacing w:val="4"/>
          <w:sz w:val="24"/>
          <w:szCs w:val="24"/>
        </w:rPr>
        <w:t xml:space="preserve"> </w:t>
      </w:r>
      <w:r>
        <w:rPr>
          <w:rFonts w:ascii="宋体" w:hAnsi="宋体" w:eastAsia="宋体" w:cs="宋体"/>
          <w:spacing w:val="-4"/>
          <w:sz w:val="24"/>
          <w:szCs w:val="24"/>
        </w:rPr>
        <w:t>挥和派遣相关部门专业应急队伍赶赴现场，切断污染源，全力控制危</w:t>
      </w:r>
      <w:r>
        <w:rPr>
          <w:rFonts w:ascii="宋体" w:hAnsi="宋体" w:eastAsia="宋体" w:cs="宋体"/>
          <w:spacing w:val="-5"/>
          <w:sz w:val="24"/>
          <w:szCs w:val="24"/>
        </w:rPr>
        <w:t>险源，</w:t>
      </w:r>
      <w:r>
        <w:rPr>
          <w:rFonts w:ascii="宋体" w:hAnsi="宋体" w:eastAsia="宋体" w:cs="宋体"/>
          <w:color w:val="606070"/>
          <w:spacing w:val="-5"/>
          <w:sz w:val="24"/>
          <w:szCs w:val="24"/>
        </w:rPr>
        <w:t>划</w:t>
      </w:r>
      <w:r>
        <w:rPr>
          <w:rFonts w:ascii="宋体" w:hAnsi="宋体" w:eastAsia="宋体" w:cs="宋体"/>
          <w:color w:val="606070"/>
          <w:spacing w:val="-41"/>
          <w:sz w:val="24"/>
          <w:szCs w:val="24"/>
        </w:rPr>
        <w:t xml:space="preserve"> </w:t>
      </w:r>
      <w:r>
        <w:rPr>
          <w:rFonts w:ascii="宋体" w:hAnsi="宋体" w:eastAsia="宋体" w:cs="宋体"/>
          <w:color w:val="606070"/>
          <w:spacing w:val="-5"/>
          <w:sz w:val="24"/>
          <w:szCs w:val="24"/>
        </w:rPr>
        <w:t>定</w:t>
      </w:r>
      <w:r>
        <w:rPr>
          <w:rFonts w:ascii="宋体" w:hAnsi="宋体" w:eastAsia="宋体" w:cs="宋体"/>
          <w:color w:val="606070"/>
          <w:sz w:val="24"/>
          <w:szCs w:val="24"/>
        </w:rPr>
        <w:t xml:space="preserve"> </w:t>
      </w:r>
      <w:r>
        <w:rPr>
          <w:rFonts w:ascii="宋体" w:hAnsi="宋体" w:eastAsia="宋体" w:cs="宋体"/>
          <w:spacing w:val="-2"/>
          <w:sz w:val="24"/>
          <w:szCs w:val="24"/>
        </w:rPr>
        <w:t>警戒区。实施交通管制，实施社会信息发布，做好疏散人群的临时安置工作，提</w:t>
      </w:r>
    </w:p>
    <w:p w14:paraId="22012C4D">
      <w:pPr>
        <w:spacing w:before="3" w:line="219" w:lineRule="auto"/>
        <w:rPr>
          <w:rFonts w:ascii="宋体" w:hAnsi="宋体" w:eastAsia="宋体" w:cs="宋体"/>
          <w:sz w:val="24"/>
          <w:szCs w:val="24"/>
        </w:rPr>
      </w:pPr>
      <w:r>
        <w:rPr>
          <w:rFonts w:ascii="宋体" w:hAnsi="宋体" w:eastAsia="宋体" w:cs="宋体"/>
          <w:color w:val="606070"/>
          <w:spacing w:val="-2"/>
          <w:sz w:val="24"/>
          <w:szCs w:val="24"/>
        </w:rPr>
        <w:t>供应急后勤保障等，一旦事件发展超出控制能力范围，及时上报包头市生态环境</w:t>
      </w:r>
    </w:p>
    <w:p w14:paraId="054242AB">
      <w:pPr>
        <w:spacing w:before="178" w:line="220" w:lineRule="auto"/>
        <w:rPr>
          <w:rFonts w:ascii="宋体" w:hAnsi="宋体" w:eastAsia="宋体" w:cs="宋体"/>
          <w:sz w:val="24"/>
          <w:szCs w:val="24"/>
        </w:rPr>
      </w:pPr>
      <w:r>
        <w:rPr>
          <w:rFonts w:ascii="宋体" w:hAnsi="宋体" w:eastAsia="宋体" w:cs="宋体"/>
          <w:spacing w:val="-7"/>
          <w:sz w:val="24"/>
          <w:szCs w:val="24"/>
        </w:rPr>
        <w:t>局请求支援。</w:t>
      </w:r>
    </w:p>
    <w:p w14:paraId="4882FFC9">
      <w:pPr>
        <w:spacing w:before="233" w:line="219" w:lineRule="auto"/>
        <w:ind w:left="479"/>
        <w:rPr>
          <w:rFonts w:ascii="宋体" w:hAnsi="宋体" w:eastAsia="宋体" w:cs="宋体"/>
          <w:sz w:val="24"/>
          <w:szCs w:val="24"/>
        </w:rPr>
      </w:pPr>
      <w:r>
        <w:rPr>
          <w:rFonts w:ascii="宋体" w:hAnsi="宋体" w:eastAsia="宋体" w:cs="宋体"/>
          <w:spacing w:val="-1"/>
          <w:sz w:val="24"/>
          <w:szCs w:val="24"/>
        </w:rPr>
        <w:t>根据污染特征，水源地突发环境事件的污染处置措施如下：</w:t>
      </w:r>
    </w:p>
    <w:p w14:paraId="371BD6F3">
      <w:pPr>
        <w:spacing w:before="206" w:line="219" w:lineRule="auto"/>
        <w:ind w:left="610"/>
        <w:rPr>
          <w:rFonts w:ascii="宋体" w:hAnsi="宋体" w:eastAsia="宋体" w:cs="宋体"/>
          <w:sz w:val="24"/>
          <w:szCs w:val="24"/>
        </w:rPr>
      </w:pPr>
      <w:r>
        <w:rPr>
          <w:rFonts w:ascii="宋体" w:hAnsi="宋体" w:eastAsia="宋体" w:cs="宋体"/>
          <w:color w:val="606070"/>
          <w:spacing w:val="1"/>
          <w:sz w:val="24"/>
          <w:szCs w:val="24"/>
        </w:rPr>
        <w:t xml:space="preserve">(1)水体内污染物治理、总量或浓度削减。 </w:t>
      </w:r>
      <w:r>
        <w:rPr>
          <w:rFonts w:ascii="宋体" w:hAnsi="宋体" w:eastAsia="宋体" w:cs="宋体"/>
          <w:spacing w:val="1"/>
          <w:sz w:val="24"/>
          <w:szCs w:val="24"/>
        </w:rPr>
        <w:t>根据应急专家组等意见，制定</w:t>
      </w:r>
    </w:p>
    <w:p w14:paraId="70DF6A5F">
      <w:pPr>
        <w:spacing w:line="219" w:lineRule="auto"/>
        <w:rPr>
          <w:rFonts w:ascii="宋体" w:hAnsi="宋体" w:eastAsia="宋体" w:cs="宋体"/>
          <w:sz w:val="24"/>
          <w:szCs w:val="24"/>
        </w:rPr>
        <w:sectPr>
          <w:footerReference r:id="rId31" w:type="default"/>
          <w:pgSz w:w="11910" w:h="16850"/>
          <w:pgMar w:top="1432" w:right="1786" w:bottom="1431" w:left="1670" w:header="0" w:footer="1287" w:gutter="0"/>
          <w:cols w:space="720" w:num="1"/>
        </w:sectPr>
      </w:pPr>
    </w:p>
    <w:p w14:paraId="7CFAC1A5">
      <w:pPr>
        <w:spacing w:before="227" w:line="357" w:lineRule="auto"/>
        <w:ind w:left="105" w:right="84"/>
        <w:jc w:val="both"/>
        <w:rPr>
          <w:rFonts w:ascii="宋体" w:hAnsi="宋体" w:eastAsia="宋体" w:cs="宋体"/>
          <w:sz w:val="24"/>
          <w:szCs w:val="24"/>
        </w:rPr>
      </w:pPr>
      <w:bookmarkStart w:id="58" w:name="bookmark87"/>
      <w:bookmarkEnd w:id="58"/>
      <w:r>
        <w:rPr>
          <w:rFonts w:ascii="宋体" w:hAnsi="宋体" w:eastAsia="宋体" w:cs="宋体"/>
          <w:spacing w:val="-2"/>
          <w:sz w:val="24"/>
          <w:szCs w:val="24"/>
        </w:rPr>
        <w:t>综合处置方案，经现场应急指挥部确认后实施。一般采取隔</w:t>
      </w:r>
      <w:r>
        <w:rPr>
          <w:rFonts w:ascii="宋体" w:hAnsi="宋体" w:eastAsia="宋体" w:cs="宋体"/>
          <w:spacing w:val="-3"/>
          <w:sz w:val="24"/>
          <w:szCs w:val="24"/>
        </w:rPr>
        <w:t>离、吸附、扰动等物</w:t>
      </w:r>
      <w:r>
        <w:rPr>
          <w:rFonts w:ascii="宋体" w:hAnsi="宋体" w:eastAsia="宋体" w:cs="宋体"/>
          <w:sz w:val="24"/>
          <w:szCs w:val="24"/>
        </w:rPr>
        <w:t xml:space="preserve"> </w:t>
      </w:r>
      <w:r>
        <w:rPr>
          <w:rFonts w:ascii="宋体" w:hAnsi="宋体" w:eastAsia="宋体" w:cs="宋体"/>
          <w:spacing w:val="-2"/>
          <w:sz w:val="24"/>
          <w:szCs w:val="24"/>
        </w:rPr>
        <w:t>理方法，氧化、沉淀等化学方法，利用生物消解方法和</w:t>
      </w:r>
      <w:r>
        <w:rPr>
          <w:rFonts w:ascii="宋体" w:hAnsi="宋体" w:eastAsia="宋体" w:cs="宋体"/>
          <w:spacing w:val="-3"/>
          <w:sz w:val="24"/>
          <w:szCs w:val="24"/>
        </w:rPr>
        <w:t>注水等稀释方法，可以采</w:t>
      </w:r>
      <w:r>
        <w:rPr>
          <w:rFonts w:ascii="宋体" w:hAnsi="宋体" w:eastAsia="宋体" w:cs="宋体"/>
          <w:sz w:val="24"/>
          <w:szCs w:val="24"/>
        </w:rPr>
        <w:t xml:space="preserve"> </w:t>
      </w:r>
      <w:r>
        <w:rPr>
          <w:rFonts w:ascii="宋体" w:hAnsi="宋体" w:eastAsia="宋体" w:cs="宋体"/>
          <w:spacing w:val="-6"/>
          <w:sz w:val="24"/>
          <w:szCs w:val="24"/>
        </w:rPr>
        <w:t>取一种或多种方式，力争短时间内削减污染物</w:t>
      </w:r>
      <w:r>
        <w:rPr>
          <w:rFonts w:ascii="宋体" w:hAnsi="宋体" w:eastAsia="宋体" w:cs="宋体"/>
          <w:spacing w:val="-7"/>
          <w:sz w:val="24"/>
          <w:szCs w:val="24"/>
        </w:rPr>
        <w:t>浓度。现场应急指挥部可根据需要，</w:t>
      </w:r>
      <w:r>
        <w:rPr>
          <w:rFonts w:ascii="宋体" w:hAnsi="宋体" w:eastAsia="宋体" w:cs="宋体"/>
          <w:sz w:val="24"/>
          <w:szCs w:val="24"/>
        </w:rPr>
        <w:t xml:space="preserve"> </w:t>
      </w:r>
      <w:r>
        <w:rPr>
          <w:rFonts w:ascii="宋体" w:hAnsi="宋体" w:eastAsia="宋体" w:cs="宋体"/>
          <w:color w:val="607070"/>
          <w:spacing w:val="-2"/>
          <w:sz w:val="24"/>
          <w:szCs w:val="24"/>
        </w:rPr>
        <w:t>对水源地周边的污染物排放企业实施停产、</w:t>
      </w:r>
      <w:r>
        <w:rPr>
          <w:rFonts w:ascii="宋体" w:hAnsi="宋体" w:eastAsia="宋体" w:cs="宋体"/>
          <w:spacing w:val="-2"/>
          <w:sz w:val="24"/>
          <w:szCs w:val="24"/>
        </w:rPr>
        <w:t>减产、限产等措施，削减水域污染物</w:t>
      </w:r>
      <w:r>
        <w:rPr>
          <w:rFonts w:ascii="宋体" w:hAnsi="宋体" w:eastAsia="宋体" w:cs="宋体"/>
          <w:spacing w:val="9"/>
          <w:sz w:val="24"/>
          <w:szCs w:val="24"/>
        </w:rPr>
        <w:t xml:space="preserve"> </w:t>
      </w:r>
      <w:r>
        <w:rPr>
          <w:rFonts w:ascii="宋体" w:hAnsi="宋体" w:eastAsia="宋体" w:cs="宋体"/>
          <w:spacing w:val="-3"/>
          <w:sz w:val="24"/>
          <w:szCs w:val="24"/>
        </w:rPr>
        <w:t>总量或浓度。</w:t>
      </w:r>
    </w:p>
    <w:p w14:paraId="0E47A9A2">
      <w:pPr>
        <w:spacing w:before="10" w:line="355" w:lineRule="auto"/>
        <w:ind w:left="105" w:right="173" w:firstLine="629"/>
        <w:jc w:val="both"/>
        <w:rPr>
          <w:rFonts w:ascii="宋体" w:hAnsi="宋体" w:eastAsia="宋体" w:cs="宋体"/>
          <w:sz w:val="24"/>
          <w:szCs w:val="24"/>
        </w:rPr>
      </w:pPr>
      <w:r>
        <w:rPr>
          <w:rFonts w:ascii="宋体" w:hAnsi="宋体" w:eastAsia="宋体" w:cs="宋体"/>
          <w:spacing w:val="4"/>
          <w:sz w:val="24"/>
          <w:szCs w:val="24"/>
        </w:rPr>
        <w:t>(2)应急工程设施拦截污染水体。在事故发生地修建拦截坝等工</w:t>
      </w:r>
      <w:r>
        <w:rPr>
          <w:rFonts w:ascii="宋体" w:hAnsi="宋体" w:eastAsia="宋体" w:cs="宋体"/>
          <w:spacing w:val="3"/>
          <w:sz w:val="24"/>
          <w:szCs w:val="24"/>
        </w:rPr>
        <w:t>程设施拦</w:t>
      </w:r>
      <w:r>
        <w:rPr>
          <w:rFonts w:ascii="宋体" w:hAnsi="宋体" w:eastAsia="宋体" w:cs="宋体"/>
          <w:sz w:val="24"/>
          <w:szCs w:val="24"/>
        </w:rPr>
        <w:t xml:space="preserve"> </w:t>
      </w:r>
      <w:r>
        <w:rPr>
          <w:rFonts w:ascii="宋体" w:hAnsi="宋体" w:eastAsia="宋体" w:cs="宋体"/>
          <w:spacing w:val="-2"/>
          <w:sz w:val="24"/>
          <w:szCs w:val="24"/>
        </w:rPr>
        <w:t>截污染物，防止污染水体；利用事故池、缓冲池等工程设</w:t>
      </w:r>
      <w:r>
        <w:rPr>
          <w:rFonts w:ascii="宋体" w:hAnsi="宋体" w:eastAsia="宋体" w:cs="宋体"/>
          <w:spacing w:val="-3"/>
          <w:sz w:val="24"/>
          <w:szCs w:val="24"/>
        </w:rPr>
        <w:t>施，降低污染物污染水</w:t>
      </w:r>
      <w:r>
        <w:rPr>
          <w:rFonts w:ascii="宋体" w:hAnsi="宋体" w:eastAsia="宋体" w:cs="宋体"/>
          <w:sz w:val="24"/>
          <w:szCs w:val="24"/>
        </w:rPr>
        <w:t xml:space="preserve"> </w:t>
      </w:r>
      <w:r>
        <w:rPr>
          <w:rFonts w:ascii="宋体" w:hAnsi="宋体" w:eastAsia="宋体" w:cs="宋体"/>
          <w:spacing w:val="-2"/>
          <w:sz w:val="24"/>
          <w:szCs w:val="24"/>
        </w:rPr>
        <w:t>体，为应急处置争取时间。</w:t>
      </w:r>
    </w:p>
    <w:p w14:paraId="43A22D8D">
      <w:pPr>
        <w:spacing w:line="219" w:lineRule="auto"/>
        <w:ind w:left="108"/>
        <w:outlineLvl w:val="2"/>
        <w:rPr>
          <w:rFonts w:ascii="宋体" w:hAnsi="宋体" w:eastAsia="宋体" w:cs="宋体"/>
          <w:sz w:val="26"/>
          <w:szCs w:val="26"/>
        </w:rPr>
      </w:pPr>
      <w:bookmarkStart w:id="59" w:name="bookmark41"/>
      <w:bookmarkEnd w:id="59"/>
      <w:r>
        <w:rPr>
          <w:rFonts w:ascii="宋体" w:hAnsi="宋体" w:eastAsia="宋体" w:cs="宋体"/>
          <w:b/>
          <w:bCs/>
          <w:spacing w:val="-14"/>
          <w:sz w:val="26"/>
          <w:szCs w:val="26"/>
        </w:rPr>
        <w:t>4.6.2供水安全保障</w:t>
      </w:r>
    </w:p>
    <w:p w14:paraId="4972D8B9">
      <w:pPr>
        <w:spacing w:before="174" w:line="359" w:lineRule="auto"/>
        <w:ind w:left="105" w:right="154" w:firstLine="509"/>
        <w:jc w:val="both"/>
        <w:rPr>
          <w:rFonts w:ascii="宋体" w:hAnsi="宋体" w:eastAsia="宋体" w:cs="宋体"/>
          <w:sz w:val="24"/>
          <w:szCs w:val="24"/>
        </w:rPr>
      </w:pPr>
      <w:r>
        <w:rPr>
          <w:rFonts w:ascii="宋体" w:hAnsi="宋体" w:eastAsia="宋体" w:cs="宋体"/>
          <w:spacing w:val="-3"/>
          <w:sz w:val="24"/>
          <w:szCs w:val="24"/>
        </w:rPr>
        <w:t>当启动预警时，应立即向石拐区住建局通报，并建立应急监测信息制度，可</w:t>
      </w:r>
      <w:r>
        <w:rPr>
          <w:rFonts w:ascii="宋体" w:hAnsi="宋体" w:eastAsia="宋体" w:cs="宋体"/>
          <w:spacing w:val="8"/>
          <w:sz w:val="24"/>
          <w:szCs w:val="24"/>
        </w:rPr>
        <w:t xml:space="preserve"> </w:t>
      </w:r>
      <w:r>
        <w:rPr>
          <w:rFonts w:ascii="宋体" w:hAnsi="宋体" w:eastAsia="宋体" w:cs="宋体"/>
          <w:spacing w:val="-2"/>
          <w:sz w:val="24"/>
          <w:szCs w:val="24"/>
        </w:rPr>
        <w:t>根据污染物种类、浓度、可能影响取水口的时间，由</w:t>
      </w:r>
      <w:r>
        <w:rPr>
          <w:rFonts w:ascii="宋体" w:hAnsi="宋体" w:eastAsia="宋体" w:cs="宋体"/>
          <w:spacing w:val="-3"/>
          <w:sz w:val="24"/>
          <w:szCs w:val="24"/>
        </w:rPr>
        <w:t>石拐区发改委紧急采取调运</w:t>
      </w:r>
      <w:r>
        <w:rPr>
          <w:rFonts w:ascii="宋体" w:hAnsi="宋体" w:eastAsia="宋体" w:cs="宋体"/>
          <w:sz w:val="24"/>
          <w:szCs w:val="24"/>
        </w:rPr>
        <w:t xml:space="preserve"> 应急供水车等设施，并调运桶装水，保障居民生活用水。</w:t>
      </w:r>
    </w:p>
    <w:p w14:paraId="600680F4">
      <w:pPr>
        <w:spacing w:before="59" w:line="219" w:lineRule="auto"/>
        <w:ind w:left="105"/>
        <w:outlineLvl w:val="1"/>
        <w:rPr>
          <w:rFonts w:ascii="宋体" w:hAnsi="宋体" w:eastAsia="宋体" w:cs="宋体"/>
          <w:sz w:val="28"/>
          <w:szCs w:val="28"/>
        </w:rPr>
      </w:pPr>
      <w:bookmarkStart w:id="60" w:name="bookmark42"/>
      <w:bookmarkEnd w:id="60"/>
      <w:r>
        <w:rPr>
          <w:rFonts w:ascii="宋体" w:hAnsi="宋体" w:eastAsia="宋体" w:cs="宋体"/>
          <w:spacing w:val="-1"/>
          <w:sz w:val="28"/>
          <w:szCs w:val="28"/>
        </w:rPr>
        <w:t>4.</w:t>
      </w:r>
      <w:r>
        <w:rPr>
          <w:rFonts w:ascii="宋体" w:hAnsi="宋体" w:eastAsia="宋体" w:cs="宋体"/>
          <w:b/>
          <w:bCs/>
          <w:spacing w:val="-1"/>
          <w:sz w:val="28"/>
          <w:szCs w:val="28"/>
        </w:rPr>
        <w:t>7物资调集及应急设施启用</w:t>
      </w:r>
    </w:p>
    <w:p w14:paraId="2C699699">
      <w:pPr>
        <w:spacing w:before="247" w:line="355" w:lineRule="auto"/>
        <w:ind w:left="105" w:right="147" w:firstLine="499"/>
        <w:jc w:val="both"/>
        <w:rPr>
          <w:rFonts w:ascii="宋体" w:hAnsi="宋体" w:eastAsia="宋体" w:cs="宋体"/>
          <w:sz w:val="24"/>
          <w:szCs w:val="24"/>
        </w:rPr>
      </w:pPr>
      <w:r>
        <w:rPr>
          <w:rFonts w:ascii="宋体" w:hAnsi="宋体" w:eastAsia="宋体" w:cs="宋体"/>
          <w:spacing w:val="-2"/>
          <w:sz w:val="24"/>
          <w:szCs w:val="24"/>
        </w:rPr>
        <w:t>石拐区政府及其相关部门、单位按照职责分工，</w:t>
      </w:r>
      <w:r>
        <w:rPr>
          <w:rFonts w:ascii="宋体" w:hAnsi="宋体" w:eastAsia="宋体" w:cs="宋体"/>
          <w:color w:val="607070"/>
          <w:spacing w:val="-2"/>
          <w:sz w:val="24"/>
          <w:szCs w:val="24"/>
        </w:rPr>
        <w:t>组织做好</w:t>
      </w:r>
      <w:r>
        <w:rPr>
          <w:rFonts w:ascii="宋体" w:hAnsi="宋体" w:eastAsia="宋体" w:cs="宋体"/>
          <w:color w:val="607070"/>
          <w:spacing w:val="-3"/>
          <w:sz w:val="24"/>
          <w:szCs w:val="24"/>
        </w:rPr>
        <w:t>环境应急救援物资</w:t>
      </w:r>
      <w:r>
        <w:rPr>
          <w:rFonts w:ascii="宋体" w:hAnsi="宋体" w:eastAsia="宋体" w:cs="宋体"/>
          <w:color w:val="607070"/>
          <w:sz w:val="24"/>
          <w:szCs w:val="24"/>
        </w:rPr>
        <w:t xml:space="preserve"> </w:t>
      </w:r>
      <w:r>
        <w:rPr>
          <w:rFonts w:ascii="宋体" w:hAnsi="宋体" w:eastAsia="宋体" w:cs="宋体"/>
          <w:spacing w:val="-2"/>
          <w:sz w:val="24"/>
          <w:szCs w:val="24"/>
        </w:rPr>
        <w:t>的紧急生产、储备调拨和紧急配送工作，</w:t>
      </w:r>
      <w:r>
        <w:rPr>
          <w:rFonts w:ascii="宋体" w:hAnsi="宋体" w:eastAsia="宋体" w:cs="宋体"/>
          <w:color w:val="407060"/>
          <w:spacing w:val="-2"/>
          <w:sz w:val="24"/>
          <w:szCs w:val="24"/>
        </w:rPr>
        <w:t>保障支援突发</w:t>
      </w:r>
      <w:r>
        <w:rPr>
          <w:rFonts w:ascii="宋体" w:hAnsi="宋体" w:eastAsia="宋体" w:cs="宋体"/>
          <w:color w:val="407060"/>
          <w:spacing w:val="-3"/>
          <w:sz w:val="24"/>
          <w:szCs w:val="24"/>
        </w:rPr>
        <w:t>环境事件应急处置和环境</w:t>
      </w:r>
      <w:r>
        <w:rPr>
          <w:rFonts w:ascii="宋体" w:hAnsi="宋体" w:eastAsia="宋体" w:cs="宋体"/>
          <w:color w:val="407060"/>
          <w:sz w:val="24"/>
          <w:szCs w:val="24"/>
        </w:rPr>
        <w:t xml:space="preserve"> </w:t>
      </w:r>
      <w:r>
        <w:rPr>
          <w:rFonts w:ascii="宋体" w:hAnsi="宋体" w:eastAsia="宋体" w:cs="宋体"/>
          <w:spacing w:val="-2"/>
          <w:sz w:val="24"/>
          <w:szCs w:val="24"/>
        </w:rPr>
        <w:t>恢复治理工作的需要。加强应急物资储备，鼓励支持社</w:t>
      </w:r>
      <w:r>
        <w:rPr>
          <w:rFonts w:ascii="宋体" w:hAnsi="宋体" w:eastAsia="宋体" w:cs="宋体"/>
          <w:spacing w:val="-3"/>
          <w:sz w:val="24"/>
          <w:szCs w:val="24"/>
        </w:rPr>
        <w:t>会化应急物资储备，保障</w:t>
      </w:r>
      <w:r>
        <w:rPr>
          <w:rFonts w:ascii="宋体" w:hAnsi="宋体" w:eastAsia="宋体" w:cs="宋体"/>
          <w:sz w:val="24"/>
          <w:szCs w:val="24"/>
        </w:rPr>
        <w:t xml:space="preserve"> </w:t>
      </w:r>
      <w:r>
        <w:rPr>
          <w:rFonts w:ascii="宋体" w:hAnsi="宋体" w:eastAsia="宋体" w:cs="宋体"/>
          <w:spacing w:val="-2"/>
          <w:sz w:val="24"/>
          <w:szCs w:val="24"/>
        </w:rPr>
        <w:t>应急物资、生活必需品的生产和供给石拐区水源地突发环境事件</w:t>
      </w:r>
      <w:r>
        <w:rPr>
          <w:rFonts w:ascii="宋体" w:hAnsi="宋体" w:eastAsia="宋体" w:cs="宋体"/>
          <w:spacing w:val="-3"/>
          <w:sz w:val="24"/>
          <w:szCs w:val="24"/>
        </w:rPr>
        <w:t>应急物资由包头</w:t>
      </w:r>
      <w:r>
        <w:rPr>
          <w:rFonts w:ascii="宋体" w:hAnsi="宋体" w:eastAsia="宋体" w:cs="宋体"/>
          <w:sz w:val="24"/>
          <w:szCs w:val="24"/>
        </w:rPr>
        <w:t xml:space="preserve"> </w:t>
      </w:r>
      <w:r>
        <w:rPr>
          <w:rFonts w:ascii="宋体" w:hAnsi="宋体" w:eastAsia="宋体" w:cs="宋体"/>
          <w:spacing w:val="-3"/>
          <w:sz w:val="24"/>
          <w:szCs w:val="24"/>
        </w:rPr>
        <w:t>市生态环境局和石拐区住建局统一管理。包头市石拐区水源地突发环境事件应急</w:t>
      </w:r>
    </w:p>
    <w:p w14:paraId="1AA2263E">
      <w:pPr>
        <w:spacing w:before="5" w:line="219" w:lineRule="auto"/>
        <w:ind w:left="105"/>
        <w:rPr>
          <w:rFonts w:ascii="宋体" w:hAnsi="宋体" w:eastAsia="宋体" w:cs="宋体"/>
          <w:sz w:val="24"/>
          <w:szCs w:val="24"/>
        </w:rPr>
      </w:pPr>
      <w:r>
        <w:rPr>
          <w:rFonts w:ascii="宋体" w:hAnsi="宋体" w:eastAsia="宋体" w:cs="宋体"/>
          <w:color w:val="607070"/>
          <w:spacing w:val="-2"/>
          <w:sz w:val="24"/>
          <w:szCs w:val="24"/>
        </w:rPr>
        <w:t>物资储备情况见表4-1。</w:t>
      </w:r>
    </w:p>
    <w:p w14:paraId="350D5B59">
      <w:pPr>
        <w:spacing w:before="182" w:line="219" w:lineRule="auto"/>
        <w:ind w:left="1348"/>
        <w:rPr>
          <w:rFonts w:ascii="宋体" w:hAnsi="宋体" w:eastAsia="宋体" w:cs="宋体"/>
          <w:sz w:val="26"/>
          <w:szCs w:val="26"/>
        </w:rPr>
      </w:pPr>
      <w:r>
        <w:rPr>
          <w:rFonts w:ascii="宋体" w:hAnsi="宋体" w:eastAsia="宋体" w:cs="宋体"/>
          <w:b/>
          <w:bCs/>
          <w:spacing w:val="-18"/>
          <w:sz w:val="26"/>
          <w:szCs w:val="26"/>
        </w:rPr>
        <w:t>表4-1</w:t>
      </w:r>
      <w:r>
        <w:rPr>
          <w:rFonts w:ascii="宋体" w:hAnsi="宋体" w:eastAsia="宋体" w:cs="宋体"/>
          <w:spacing w:val="62"/>
          <w:sz w:val="26"/>
          <w:szCs w:val="26"/>
        </w:rPr>
        <w:t xml:space="preserve"> </w:t>
      </w:r>
      <w:r>
        <w:rPr>
          <w:rFonts w:ascii="宋体" w:hAnsi="宋体" w:eastAsia="宋体" w:cs="宋体"/>
          <w:b/>
          <w:bCs/>
          <w:spacing w:val="-18"/>
          <w:sz w:val="26"/>
          <w:szCs w:val="26"/>
        </w:rPr>
        <w:t>包头市石拐区水源地突发环境事件应急物资储备情况</w:t>
      </w:r>
    </w:p>
    <w:p w14:paraId="64F6F360">
      <w:pPr>
        <w:spacing w:line="90" w:lineRule="exact"/>
      </w:pPr>
    </w:p>
    <w:tbl>
      <w:tblPr>
        <w:tblStyle w:val="5"/>
        <w:tblW w:w="85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278"/>
        <w:gridCol w:w="2367"/>
        <w:gridCol w:w="809"/>
        <w:gridCol w:w="1977"/>
        <w:gridCol w:w="1074"/>
      </w:tblGrid>
      <w:tr w14:paraId="247E0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084" w:type="dxa"/>
            <w:vAlign w:val="top"/>
          </w:tcPr>
          <w:p w14:paraId="47BFF23A">
            <w:pPr>
              <w:pStyle w:val="6"/>
              <w:spacing w:before="261" w:line="221" w:lineRule="auto"/>
              <w:ind w:left="118"/>
            </w:pPr>
            <w:r>
              <w:rPr>
                <w:b/>
                <w:bCs/>
                <w:color w:val="606060"/>
                <w:spacing w:val="-4"/>
              </w:rPr>
              <w:t>应急物资</w:t>
            </w:r>
          </w:p>
        </w:tc>
        <w:tc>
          <w:tcPr>
            <w:tcW w:w="1278" w:type="dxa"/>
            <w:vAlign w:val="top"/>
          </w:tcPr>
          <w:p w14:paraId="10BB778A">
            <w:pPr>
              <w:pStyle w:val="6"/>
              <w:spacing w:before="260" w:line="219" w:lineRule="auto"/>
              <w:ind w:left="424"/>
            </w:pPr>
            <w:r>
              <w:rPr>
                <w:b/>
                <w:bCs/>
                <w:color w:val="405050"/>
                <w:spacing w:val="-5"/>
              </w:rPr>
              <w:t>种类</w:t>
            </w:r>
          </w:p>
        </w:tc>
        <w:tc>
          <w:tcPr>
            <w:tcW w:w="2367" w:type="dxa"/>
            <w:vAlign w:val="top"/>
          </w:tcPr>
          <w:p w14:paraId="3932E984">
            <w:pPr>
              <w:pStyle w:val="6"/>
              <w:spacing w:before="263" w:line="221" w:lineRule="auto"/>
              <w:ind w:left="966"/>
            </w:pPr>
            <w:r>
              <w:rPr>
                <w:b/>
                <w:bCs/>
                <w:spacing w:val="-6"/>
              </w:rPr>
              <w:t>名</w:t>
            </w:r>
            <w:r>
              <w:rPr>
                <w:b/>
                <w:bCs/>
                <w:color w:val="606060"/>
                <w:spacing w:val="-6"/>
              </w:rPr>
              <w:t>称</w:t>
            </w:r>
          </w:p>
        </w:tc>
        <w:tc>
          <w:tcPr>
            <w:tcW w:w="809" w:type="dxa"/>
            <w:vAlign w:val="top"/>
          </w:tcPr>
          <w:p w14:paraId="12624D07">
            <w:pPr>
              <w:pStyle w:val="6"/>
              <w:spacing w:before="91" w:line="220" w:lineRule="auto"/>
              <w:ind w:left="189"/>
            </w:pPr>
            <w:r>
              <w:rPr>
                <w:b/>
                <w:bCs/>
                <w:color w:val="404040"/>
                <w:spacing w:val="-6"/>
              </w:rPr>
              <w:t>储</w:t>
            </w:r>
            <w:r>
              <w:rPr>
                <w:b/>
                <w:bCs/>
                <w:color w:val="506050"/>
                <w:spacing w:val="-6"/>
              </w:rPr>
              <w:t>备</w:t>
            </w:r>
          </w:p>
          <w:p w14:paraId="5369C108">
            <w:pPr>
              <w:pStyle w:val="6"/>
              <w:spacing w:before="115" w:line="225" w:lineRule="auto"/>
              <w:ind w:left="299"/>
            </w:pPr>
            <w:r>
              <w:rPr>
                <w:b/>
                <w:bCs/>
                <w:color w:val="304040"/>
                <w:spacing w:val="-3"/>
              </w:rPr>
              <w:t>量</w:t>
            </w:r>
          </w:p>
        </w:tc>
        <w:tc>
          <w:tcPr>
            <w:tcW w:w="1977" w:type="dxa"/>
            <w:vAlign w:val="top"/>
          </w:tcPr>
          <w:p w14:paraId="34FD9CC0">
            <w:pPr>
              <w:pStyle w:val="6"/>
              <w:spacing w:before="260" w:line="219" w:lineRule="auto"/>
              <w:ind w:left="570"/>
            </w:pPr>
            <w:r>
              <w:rPr>
                <w:b/>
                <w:bCs/>
                <w:color w:val="405050"/>
                <w:spacing w:val="-4"/>
              </w:rPr>
              <w:t>储存位</w:t>
            </w:r>
            <w:r>
              <w:rPr>
                <w:b/>
                <w:bCs/>
                <w:color w:val="505050"/>
                <w:spacing w:val="-4"/>
              </w:rPr>
              <w:t>置</w:t>
            </w:r>
          </w:p>
        </w:tc>
        <w:tc>
          <w:tcPr>
            <w:tcW w:w="1074" w:type="dxa"/>
            <w:vAlign w:val="top"/>
          </w:tcPr>
          <w:p w14:paraId="085E76E0">
            <w:pPr>
              <w:pStyle w:val="6"/>
              <w:spacing w:before="261" w:line="221" w:lineRule="auto"/>
              <w:ind w:left="322"/>
            </w:pPr>
            <w:r>
              <w:rPr>
                <w:b/>
                <w:bCs/>
                <w:color w:val="404040"/>
                <w:spacing w:val="-5"/>
              </w:rPr>
              <w:t>备注</w:t>
            </w:r>
          </w:p>
        </w:tc>
      </w:tr>
      <w:tr w14:paraId="09594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084" w:type="dxa"/>
            <w:vMerge w:val="restart"/>
            <w:tcBorders>
              <w:bottom w:val="nil"/>
            </w:tcBorders>
            <w:vAlign w:val="top"/>
          </w:tcPr>
          <w:p w14:paraId="4B78AD4F">
            <w:pPr>
              <w:spacing w:line="344" w:lineRule="auto"/>
              <w:rPr>
                <w:rFonts w:ascii="Arial"/>
                <w:sz w:val="21"/>
              </w:rPr>
            </w:pPr>
          </w:p>
          <w:p w14:paraId="4C4DD300">
            <w:pPr>
              <w:spacing w:line="345" w:lineRule="auto"/>
              <w:rPr>
                <w:rFonts w:ascii="Arial"/>
                <w:sz w:val="21"/>
              </w:rPr>
            </w:pPr>
          </w:p>
          <w:p w14:paraId="1A9B20B9">
            <w:pPr>
              <w:pStyle w:val="6"/>
              <w:spacing w:before="68" w:line="221" w:lineRule="auto"/>
              <w:ind w:left="115"/>
            </w:pPr>
            <w:r>
              <w:rPr>
                <w:spacing w:val="4"/>
              </w:rPr>
              <w:t>应急监测</w:t>
            </w:r>
          </w:p>
          <w:p w14:paraId="5AD97AF7">
            <w:pPr>
              <w:pStyle w:val="6"/>
              <w:spacing w:before="98" w:line="221" w:lineRule="auto"/>
              <w:ind w:left="325"/>
            </w:pPr>
            <w:r>
              <w:rPr>
                <w:spacing w:val="7"/>
              </w:rPr>
              <w:t>物资</w:t>
            </w:r>
          </w:p>
        </w:tc>
        <w:tc>
          <w:tcPr>
            <w:tcW w:w="1278" w:type="dxa"/>
            <w:vMerge w:val="restart"/>
            <w:tcBorders>
              <w:bottom w:val="nil"/>
            </w:tcBorders>
            <w:vAlign w:val="top"/>
          </w:tcPr>
          <w:p w14:paraId="43AAADF4">
            <w:pPr>
              <w:spacing w:line="344" w:lineRule="auto"/>
              <w:rPr>
                <w:rFonts w:ascii="Arial"/>
                <w:sz w:val="21"/>
              </w:rPr>
            </w:pPr>
          </w:p>
          <w:p w14:paraId="7594D405">
            <w:pPr>
              <w:spacing w:line="344" w:lineRule="auto"/>
              <w:rPr>
                <w:rFonts w:ascii="Arial"/>
                <w:sz w:val="21"/>
              </w:rPr>
            </w:pPr>
          </w:p>
          <w:p w14:paraId="0D38CD66">
            <w:pPr>
              <w:pStyle w:val="6"/>
              <w:spacing w:before="68" w:line="219" w:lineRule="auto"/>
              <w:ind w:left="101"/>
            </w:pPr>
            <w:r>
              <w:rPr>
                <w:spacing w:val="3"/>
              </w:rPr>
              <w:t>便携式监测</w:t>
            </w:r>
          </w:p>
          <w:p w14:paraId="19055BA2">
            <w:pPr>
              <w:pStyle w:val="6"/>
              <w:spacing w:before="100" w:line="219" w:lineRule="auto"/>
              <w:ind w:left="421"/>
            </w:pPr>
            <w:r>
              <w:rPr>
                <w:spacing w:val="-3"/>
              </w:rPr>
              <w:t>仪器</w:t>
            </w:r>
          </w:p>
        </w:tc>
        <w:tc>
          <w:tcPr>
            <w:tcW w:w="2367" w:type="dxa"/>
            <w:vAlign w:val="top"/>
          </w:tcPr>
          <w:p w14:paraId="1C18B5B5">
            <w:pPr>
              <w:pStyle w:val="6"/>
              <w:spacing w:before="70" w:line="219" w:lineRule="auto"/>
              <w:ind w:left="332"/>
            </w:pPr>
            <w:r>
              <w:rPr>
                <w:color w:val="304040"/>
                <w:spacing w:val="-1"/>
              </w:rPr>
              <w:t>便携式分光光度计</w:t>
            </w:r>
          </w:p>
        </w:tc>
        <w:tc>
          <w:tcPr>
            <w:tcW w:w="809" w:type="dxa"/>
            <w:vAlign w:val="top"/>
          </w:tcPr>
          <w:p w14:paraId="1A695959">
            <w:pPr>
              <w:pStyle w:val="6"/>
              <w:spacing w:before="73" w:line="221" w:lineRule="auto"/>
              <w:ind w:left="236"/>
            </w:pPr>
            <w:r>
              <w:rPr>
                <w:spacing w:val="-12"/>
              </w:rPr>
              <w:t>1</w:t>
            </w:r>
            <w:r>
              <w:rPr>
                <w:spacing w:val="-29"/>
              </w:rPr>
              <w:t xml:space="preserve"> </w:t>
            </w:r>
            <w:r>
              <w:rPr>
                <w:spacing w:val="-12"/>
              </w:rPr>
              <w:t>台</w:t>
            </w:r>
          </w:p>
        </w:tc>
        <w:tc>
          <w:tcPr>
            <w:tcW w:w="1977" w:type="dxa"/>
            <w:vMerge w:val="restart"/>
            <w:tcBorders>
              <w:bottom w:val="nil"/>
            </w:tcBorders>
            <w:vAlign w:val="top"/>
          </w:tcPr>
          <w:p w14:paraId="39030B8A">
            <w:pPr>
              <w:spacing w:line="344" w:lineRule="auto"/>
              <w:rPr>
                <w:rFonts w:ascii="Arial"/>
                <w:sz w:val="21"/>
              </w:rPr>
            </w:pPr>
          </w:p>
          <w:p w14:paraId="1B67F967">
            <w:pPr>
              <w:spacing w:line="344" w:lineRule="auto"/>
              <w:rPr>
                <w:rFonts w:ascii="Arial"/>
                <w:sz w:val="21"/>
              </w:rPr>
            </w:pPr>
          </w:p>
          <w:p w14:paraId="7B41BFFF">
            <w:pPr>
              <w:pStyle w:val="6"/>
              <w:spacing w:before="68" w:line="219" w:lineRule="auto"/>
              <w:ind w:left="147"/>
            </w:pPr>
            <w:r>
              <w:rPr>
                <w:color w:val="405050"/>
                <w:spacing w:val="2"/>
              </w:rPr>
              <w:t>包头市生态环境局</w:t>
            </w:r>
          </w:p>
          <w:p w14:paraId="64DFCB2D">
            <w:pPr>
              <w:pStyle w:val="6"/>
              <w:spacing w:before="111" w:line="220" w:lineRule="auto"/>
              <w:ind w:left="457"/>
            </w:pPr>
            <w:r>
              <w:rPr>
                <w:spacing w:val="3"/>
              </w:rPr>
              <w:t>石拐区分局</w:t>
            </w:r>
          </w:p>
        </w:tc>
        <w:tc>
          <w:tcPr>
            <w:tcW w:w="1074" w:type="dxa"/>
            <w:vMerge w:val="restart"/>
            <w:tcBorders>
              <w:bottom w:val="nil"/>
            </w:tcBorders>
            <w:vAlign w:val="top"/>
          </w:tcPr>
          <w:p w14:paraId="4B600044">
            <w:pPr>
              <w:spacing w:line="279" w:lineRule="auto"/>
              <w:rPr>
                <w:rFonts w:ascii="Arial"/>
                <w:sz w:val="21"/>
              </w:rPr>
            </w:pPr>
          </w:p>
          <w:p w14:paraId="60F320D8">
            <w:pPr>
              <w:spacing w:line="279" w:lineRule="auto"/>
              <w:rPr>
                <w:rFonts w:ascii="Arial"/>
                <w:sz w:val="21"/>
              </w:rPr>
            </w:pPr>
          </w:p>
          <w:p w14:paraId="452B8135">
            <w:pPr>
              <w:spacing w:line="279" w:lineRule="auto"/>
              <w:rPr>
                <w:rFonts w:ascii="Arial"/>
                <w:sz w:val="21"/>
              </w:rPr>
            </w:pPr>
          </w:p>
          <w:p w14:paraId="14355F84">
            <w:pPr>
              <w:pStyle w:val="6"/>
              <w:spacing w:before="69" w:line="220" w:lineRule="auto"/>
              <w:ind w:left="110"/>
            </w:pPr>
            <w:r>
              <w:rPr>
                <w:spacing w:val="3"/>
              </w:rPr>
              <w:t>定期维护</w:t>
            </w:r>
          </w:p>
        </w:tc>
      </w:tr>
      <w:tr w14:paraId="5F5BD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84" w:type="dxa"/>
            <w:vMerge w:val="continue"/>
            <w:tcBorders>
              <w:top w:val="nil"/>
              <w:bottom w:val="nil"/>
            </w:tcBorders>
            <w:vAlign w:val="top"/>
          </w:tcPr>
          <w:p w14:paraId="35909638">
            <w:pPr>
              <w:rPr>
                <w:rFonts w:ascii="Arial"/>
                <w:sz w:val="21"/>
              </w:rPr>
            </w:pPr>
          </w:p>
        </w:tc>
        <w:tc>
          <w:tcPr>
            <w:tcW w:w="1278" w:type="dxa"/>
            <w:vMerge w:val="continue"/>
            <w:tcBorders>
              <w:top w:val="nil"/>
              <w:bottom w:val="nil"/>
            </w:tcBorders>
            <w:vAlign w:val="top"/>
          </w:tcPr>
          <w:p w14:paraId="2F6E23B5">
            <w:pPr>
              <w:rPr>
                <w:rFonts w:ascii="Arial"/>
                <w:sz w:val="21"/>
              </w:rPr>
            </w:pPr>
          </w:p>
        </w:tc>
        <w:tc>
          <w:tcPr>
            <w:tcW w:w="2367" w:type="dxa"/>
            <w:vAlign w:val="top"/>
          </w:tcPr>
          <w:p w14:paraId="3853B179">
            <w:pPr>
              <w:pStyle w:val="6"/>
              <w:spacing w:before="100" w:line="219" w:lineRule="auto"/>
              <w:ind w:left="233"/>
            </w:pPr>
            <w:r>
              <w:rPr>
                <w:color w:val="304040"/>
                <w:spacing w:val="-1"/>
              </w:rPr>
              <w:t>便携式重金属分析仪</w:t>
            </w:r>
          </w:p>
        </w:tc>
        <w:tc>
          <w:tcPr>
            <w:tcW w:w="809" w:type="dxa"/>
            <w:vAlign w:val="top"/>
          </w:tcPr>
          <w:p w14:paraId="3579EABB">
            <w:pPr>
              <w:pStyle w:val="6"/>
              <w:spacing w:before="103" w:line="221" w:lineRule="auto"/>
              <w:ind w:left="236"/>
            </w:pPr>
            <w:r>
              <w:rPr>
                <w:spacing w:val="-12"/>
              </w:rPr>
              <w:t>1</w:t>
            </w:r>
            <w:r>
              <w:rPr>
                <w:spacing w:val="-29"/>
              </w:rPr>
              <w:t xml:space="preserve"> </w:t>
            </w:r>
            <w:r>
              <w:rPr>
                <w:spacing w:val="-12"/>
              </w:rPr>
              <w:t>台</w:t>
            </w:r>
          </w:p>
        </w:tc>
        <w:tc>
          <w:tcPr>
            <w:tcW w:w="1977" w:type="dxa"/>
            <w:vMerge w:val="continue"/>
            <w:tcBorders>
              <w:top w:val="nil"/>
              <w:bottom w:val="nil"/>
            </w:tcBorders>
            <w:vAlign w:val="top"/>
          </w:tcPr>
          <w:p w14:paraId="7B413D5C">
            <w:pPr>
              <w:rPr>
                <w:rFonts w:ascii="Arial"/>
                <w:sz w:val="21"/>
              </w:rPr>
            </w:pPr>
          </w:p>
        </w:tc>
        <w:tc>
          <w:tcPr>
            <w:tcW w:w="1074" w:type="dxa"/>
            <w:vMerge w:val="continue"/>
            <w:tcBorders>
              <w:top w:val="nil"/>
              <w:bottom w:val="nil"/>
            </w:tcBorders>
            <w:vAlign w:val="top"/>
          </w:tcPr>
          <w:p w14:paraId="5209F215">
            <w:pPr>
              <w:rPr>
                <w:rFonts w:ascii="Arial"/>
                <w:sz w:val="21"/>
              </w:rPr>
            </w:pPr>
          </w:p>
        </w:tc>
      </w:tr>
      <w:tr w14:paraId="72932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84" w:type="dxa"/>
            <w:vMerge w:val="continue"/>
            <w:tcBorders>
              <w:top w:val="nil"/>
              <w:bottom w:val="nil"/>
            </w:tcBorders>
            <w:vAlign w:val="top"/>
          </w:tcPr>
          <w:p w14:paraId="19ACA1CC">
            <w:pPr>
              <w:rPr>
                <w:rFonts w:ascii="Arial"/>
                <w:sz w:val="21"/>
              </w:rPr>
            </w:pPr>
          </w:p>
        </w:tc>
        <w:tc>
          <w:tcPr>
            <w:tcW w:w="1278" w:type="dxa"/>
            <w:vMerge w:val="continue"/>
            <w:tcBorders>
              <w:top w:val="nil"/>
              <w:bottom w:val="nil"/>
            </w:tcBorders>
            <w:vAlign w:val="top"/>
          </w:tcPr>
          <w:p w14:paraId="3E281AAC">
            <w:pPr>
              <w:rPr>
                <w:rFonts w:ascii="Arial"/>
                <w:sz w:val="21"/>
              </w:rPr>
            </w:pPr>
          </w:p>
        </w:tc>
        <w:tc>
          <w:tcPr>
            <w:tcW w:w="2367" w:type="dxa"/>
            <w:vAlign w:val="top"/>
          </w:tcPr>
          <w:p w14:paraId="599DF230">
            <w:pPr>
              <w:pStyle w:val="6"/>
              <w:spacing w:before="101" w:line="219" w:lineRule="auto"/>
              <w:ind w:left="123"/>
            </w:pPr>
            <w:r>
              <w:rPr>
                <w:color w:val="405050"/>
                <w:spacing w:val="-1"/>
              </w:rPr>
              <w:t>便携式生物毒性分析仪</w:t>
            </w:r>
          </w:p>
        </w:tc>
        <w:tc>
          <w:tcPr>
            <w:tcW w:w="809" w:type="dxa"/>
            <w:vAlign w:val="top"/>
          </w:tcPr>
          <w:p w14:paraId="36DBCC6C">
            <w:pPr>
              <w:pStyle w:val="6"/>
              <w:spacing w:before="104" w:line="221" w:lineRule="auto"/>
              <w:ind w:left="236"/>
            </w:pPr>
            <w:r>
              <w:rPr>
                <w:spacing w:val="-12"/>
              </w:rPr>
              <w:t>1</w:t>
            </w:r>
            <w:r>
              <w:rPr>
                <w:spacing w:val="-29"/>
              </w:rPr>
              <w:t xml:space="preserve"> </w:t>
            </w:r>
            <w:r>
              <w:rPr>
                <w:spacing w:val="-12"/>
              </w:rPr>
              <w:t>台</w:t>
            </w:r>
          </w:p>
        </w:tc>
        <w:tc>
          <w:tcPr>
            <w:tcW w:w="1977" w:type="dxa"/>
            <w:vMerge w:val="continue"/>
            <w:tcBorders>
              <w:top w:val="nil"/>
              <w:bottom w:val="nil"/>
            </w:tcBorders>
            <w:vAlign w:val="top"/>
          </w:tcPr>
          <w:p w14:paraId="2F1FA356">
            <w:pPr>
              <w:rPr>
                <w:rFonts w:ascii="Arial"/>
                <w:sz w:val="21"/>
              </w:rPr>
            </w:pPr>
          </w:p>
        </w:tc>
        <w:tc>
          <w:tcPr>
            <w:tcW w:w="1074" w:type="dxa"/>
            <w:vMerge w:val="continue"/>
            <w:tcBorders>
              <w:top w:val="nil"/>
              <w:bottom w:val="nil"/>
            </w:tcBorders>
            <w:vAlign w:val="top"/>
          </w:tcPr>
          <w:p w14:paraId="57A3B03A">
            <w:pPr>
              <w:rPr>
                <w:rFonts w:ascii="Arial"/>
                <w:sz w:val="21"/>
              </w:rPr>
            </w:pPr>
          </w:p>
        </w:tc>
      </w:tr>
      <w:tr w14:paraId="3ADE9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84" w:type="dxa"/>
            <w:vMerge w:val="continue"/>
            <w:tcBorders>
              <w:top w:val="nil"/>
              <w:bottom w:val="nil"/>
            </w:tcBorders>
            <w:vAlign w:val="top"/>
          </w:tcPr>
          <w:p w14:paraId="54792AB7">
            <w:pPr>
              <w:rPr>
                <w:rFonts w:ascii="Arial"/>
                <w:sz w:val="21"/>
              </w:rPr>
            </w:pPr>
          </w:p>
        </w:tc>
        <w:tc>
          <w:tcPr>
            <w:tcW w:w="1278" w:type="dxa"/>
            <w:vMerge w:val="continue"/>
            <w:tcBorders>
              <w:top w:val="nil"/>
              <w:bottom w:val="nil"/>
            </w:tcBorders>
            <w:vAlign w:val="top"/>
          </w:tcPr>
          <w:p w14:paraId="2A680021">
            <w:pPr>
              <w:rPr>
                <w:rFonts w:ascii="Arial"/>
                <w:sz w:val="21"/>
              </w:rPr>
            </w:pPr>
          </w:p>
        </w:tc>
        <w:tc>
          <w:tcPr>
            <w:tcW w:w="2367" w:type="dxa"/>
            <w:vAlign w:val="top"/>
          </w:tcPr>
          <w:p w14:paraId="5000985C">
            <w:pPr>
              <w:pStyle w:val="6"/>
              <w:spacing w:before="102" w:line="219" w:lineRule="auto"/>
              <w:ind w:left="542"/>
            </w:pPr>
            <w:r>
              <w:rPr>
                <w:spacing w:val="-2"/>
              </w:rPr>
              <w:t>便携式流量计</w:t>
            </w:r>
          </w:p>
        </w:tc>
        <w:tc>
          <w:tcPr>
            <w:tcW w:w="809" w:type="dxa"/>
            <w:vAlign w:val="top"/>
          </w:tcPr>
          <w:p w14:paraId="2738B2DD">
            <w:pPr>
              <w:pStyle w:val="6"/>
              <w:spacing w:before="105" w:line="221" w:lineRule="auto"/>
              <w:ind w:left="236"/>
            </w:pPr>
            <w:r>
              <w:rPr>
                <w:spacing w:val="-12"/>
              </w:rPr>
              <w:t>1</w:t>
            </w:r>
            <w:r>
              <w:rPr>
                <w:spacing w:val="-29"/>
              </w:rPr>
              <w:t xml:space="preserve"> </w:t>
            </w:r>
            <w:r>
              <w:rPr>
                <w:spacing w:val="-12"/>
              </w:rPr>
              <w:t>台</w:t>
            </w:r>
          </w:p>
        </w:tc>
        <w:tc>
          <w:tcPr>
            <w:tcW w:w="1977" w:type="dxa"/>
            <w:vMerge w:val="continue"/>
            <w:tcBorders>
              <w:top w:val="nil"/>
              <w:bottom w:val="nil"/>
            </w:tcBorders>
            <w:vAlign w:val="top"/>
          </w:tcPr>
          <w:p w14:paraId="082F272F">
            <w:pPr>
              <w:rPr>
                <w:rFonts w:ascii="Arial"/>
                <w:sz w:val="21"/>
              </w:rPr>
            </w:pPr>
          </w:p>
        </w:tc>
        <w:tc>
          <w:tcPr>
            <w:tcW w:w="1074" w:type="dxa"/>
            <w:vMerge w:val="continue"/>
            <w:tcBorders>
              <w:top w:val="nil"/>
              <w:bottom w:val="nil"/>
            </w:tcBorders>
            <w:vAlign w:val="top"/>
          </w:tcPr>
          <w:p w14:paraId="106A763B">
            <w:pPr>
              <w:rPr>
                <w:rFonts w:ascii="Arial"/>
                <w:sz w:val="21"/>
              </w:rPr>
            </w:pPr>
          </w:p>
        </w:tc>
      </w:tr>
      <w:tr w14:paraId="2AAF2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084" w:type="dxa"/>
            <w:vMerge w:val="continue"/>
            <w:tcBorders>
              <w:top w:val="nil"/>
            </w:tcBorders>
            <w:vAlign w:val="top"/>
          </w:tcPr>
          <w:p w14:paraId="22BC93D3">
            <w:pPr>
              <w:rPr>
                <w:rFonts w:ascii="Arial"/>
                <w:sz w:val="21"/>
              </w:rPr>
            </w:pPr>
          </w:p>
        </w:tc>
        <w:tc>
          <w:tcPr>
            <w:tcW w:w="1278" w:type="dxa"/>
            <w:vMerge w:val="continue"/>
            <w:tcBorders>
              <w:top w:val="nil"/>
            </w:tcBorders>
            <w:vAlign w:val="top"/>
          </w:tcPr>
          <w:p w14:paraId="210E5C71">
            <w:pPr>
              <w:rPr>
                <w:rFonts w:ascii="Arial"/>
                <w:sz w:val="21"/>
              </w:rPr>
            </w:pPr>
          </w:p>
        </w:tc>
        <w:tc>
          <w:tcPr>
            <w:tcW w:w="2367" w:type="dxa"/>
            <w:vAlign w:val="top"/>
          </w:tcPr>
          <w:p w14:paraId="6426AF32">
            <w:pPr>
              <w:pStyle w:val="6"/>
              <w:spacing w:before="113" w:line="219" w:lineRule="auto"/>
              <w:ind w:left="493"/>
            </w:pPr>
            <w:r>
              <w:t>COD</w:t>
            </w:r>
            <w:r>
              <w:rPr>
                <w:color w:val="405050"/>
              </w:rPr>
              <w:t>快速检测仪</w:t>
            </w:r>
          </w:p>
        </w:tc>
        <w:tc>
          <w:tcPr>
            <w:tcW w:w="809" w:type="dxa"/>
            <w:vAlign w:val="top"/>
          </w:tcPr>
          <w:p w14:paraId="3CADA0A4">
            <w:pPr>
              <w:pStyle w:val="6"/>
              <w:spacing w:before="116" w:line="221" w:lineRule="auto"/>
              <w:ind w:left="236"/>
            </w:pPr>
            <w:r>
              <w:rPr>
                <w:spacing w:val="-12"/>
              </w:rPr>
              <w:t>1</w:t>
            </w:r>
            <w:r>
              <w:rPr>
                <w:spacing w:val="-29"/>
              </w:rPr>
              <w:t xml:space="preserve"> </w:t>
            </w:r>
            <w:r>
              <w:rPr>
                <w:spacing w:val="-12"/>
              </w:rPr>
              <w:t>台</w:t>
            </w:r>
          </w:p>
        </w:tc>
        <w:tc>
          <w:tcPr>
            <w:tcW w:w="1977" w:type="dxa"/>
            <w:vMerge w:val="continue"/>
            <w:tcBorders>
              <w:top w:val="nil"/>
            </w:tcBorders>
            <w:vAlign w:val="top"/>
          </w:tcPr>
          <w:p w14:paraId="79811C9D">
            <w:pPr>
              <w:rPr>
                <w:rFonts w:ascii="Arial"/>
                <w:sz w:val="21"/>
              </w:rPr>
            </w:pPr>
          </w:p>
        </w:tc>
        <w:tc>
          <w:tcPr>
            <w:tcW w:w="1074" w:type="dxa"/>
            <w:vMerge w:val="continue"/>
            <w:tcBorders>
              <w:top w:val="nil"/>
            </w:tcBorders>
            <w:vAlign w:val="top"/>
          </w:tcPr>
          <w:p w14:paraId="4674527B">
            <w:pPr>
              <w:rPr>
                <w:rFonts w:ascii="Arial"/>
                <w:sz w:val="21"/>
              </w:rPr>
            </w:pPr>
          </w:p>
        </w:tc>
      </w:tr>
      <w:tr w14:paraId="2570A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84" w:type="dxa"/>
            <w:vMerge w:val="restart"/>
            <w:tcBorders>
              <w:bottom w:val="nil"/>
            </w:tcBorders>
            <w:vAlign w:val="top"/>
          </w:tcPr>
          <w:p w14:paraId="3714A01C">
            <w:pPr>
              <w:spacing w:line="422" w:lineRule="auto"/>
              <w:rPr>
                <w:rFonts w:ascii="Arial"/>
                <w:sz w:val="21"/>
              </w:rPr>
            </w:pPr>
          </w:p>
          <w:p w14:paraId="0E75FD44">
            <w:pPr>
              <w:pStyle w:val="6"/>
              <w:spacing w:before="69" w:line="310" w:lineRule="auto"/>
              <w:ind w:left="214" w:right="103" w:hanging="99"/>
            </w:pPr>
            <w:r>
              <w:rPr>
                <w:spacing w:val="3"/>
              </w:rPr>
              <w:t>个人防护</w:t>
            </w:r>
            <w:r>
              <w:rPr>
                <w:spacing w:val="2"/>
              </w:rPr>
              <w:t xml:space="preserve"> </w:t>
            </w:r>
            <w:r>
              <w:rPr>
                <w:spacing w:val="5"/>
              </w:rPr>
              <w:t>类物资</w:t>
            </w:r>
          </w:p>
        </w:tc>
        <w:tc>
          <w:tcPr>
            <w:tcW w:w="1278" w:type="dxa"/>
            <w:vAlign w:val="top"/>
          </w:tcPr>
          <w:p w14:paraId="365AB0A8">
            <w:pPr>
              <w:rPr>
                <w:rFonts w:ascii="Arial"/>
                <w:sz w:val="21"/>
              </w:rPr>
            </w:pPr>
          </w:p>
        </w:tc>
        <w:tc>
          <w:tcPr>
            <w:tcW w:w="2367" w:type="dxa"/>
            <w:vAlign w:val="top"/>
          </w:tcPr>
          <w:p w14:paraId="70C4F225">
            <w:pPr>
              <w:pStyle w:val="6"/>
              <w:spacing w:before="85" w:line="220" w:lineRule="auto"/>
              <w:ind w:left="443"/>
            </w:pPr>
            <w:r>
              <w:rPr>
                <w:spacing w:val="-21"/>
                <w:w w:val="98"/>
              </w:rPr>
              <w:t>防</w:t>
            </w:r>
            <w:r>
              <w:rPr>
                <w:spacing w:val="-35"/>
              </w:rPr>
              <w:t xml:space="preserve"> </w:t>
            </w:r>
            <w:r>
              <w:rPr>
                <w:spacing w:val="-21"/>
                <w:w w:val="98"/>
              </w:rPr>
              <w:t>酸</w:t>
            </w:r>
            <w:r>
              <w:rPr>
                <w:spacing w:val="-44"/>
              </w:rPr>
              <w:t xml:space="preserve"> </w:t>
            </w:r>
            <w:r>
              <w:rPr>
                <w:spacing w:val="-21"/>
                <w:w w:val="98"/>
              </w:rPr>
              <w:t>服</w:t>
            </w:r>
            <w:r>
              <w:rPr>
                <w:spacing w:val="-53"/>
              </w:rPr>
              <w:t xml:space="preserve"> </w:t>
            </w:r>
            <w:r>
              <w:rPr>
                <w:spacing w:val="-21"/>
                <w:w w:val="98"/>
              </w:rPr>
              <w:t>、</w:t>
            </w:r>
            <w:r>
              <w:rPr>
                <w:color w:val="404050"/>
                <w:spacing w:val="-21"/>
                <w:w w:val="98"/>
              </w:rPr>
              <w:t>防碱服</w:t>
            </w:r>
          </w:p>
        </w:tc>
        <w:tc>
          <w:tcPr>
            <w:tcW w:w="809" w:type="dxa"/>
            <w:vAlign w:val="top"/>
          </w:tcPr>
          <w:p w14:paraId="1A6359E8">
            <w:pPr>
              <w:pStyle w:val="6"/>
              <w:spacing w:before="85" w:line="220" w:lineRule="auto"/>
              <w:ind w:left="186"/>
            </w:pPr>
            <w:r>
              <w:rPr>
                <w:spacing w:val="3"/>
              </w:rPr>
              <w:t>10套</w:t>
            </w:r>
          </w:p>
        </w:tc>
        <w:tc>
          <w:tcPr>
            <w:tcW w:w="1977" w:type="dxa"/>
            <w:vMerge w:val="restart"/>
            <w:tcBorders>
              <w:bottom w:val="nil"/>
            </w:tcBorders>
            <w:vAlign w:val="top"/>
          </w:tcPr>
          <w:p w14:paraId="14B344DE">
            <w:pPr>
              <w:spacing w:line="286" w:lineRule="auto"/>
              <w:rPr>
                <w:rFonts w:ascii="Arial"/>
                <w:sz w:val="21"/>
              </w:rPr>
            </w:pPr>
          </w:p>
          <w:p w14:paraId="28571513">
            <w:pPr>
              <w:spacing w:line="287" w:lineRule="auto"/>
              <w:rPr>
                <w:rFonts w:ascii="Arial"/>
                <w:sz w:val="21"/>
              </w:rPr>
            </w:pPr>
          </w:p>
          <w:p w14:paraId="7A6F6495">
            <w:pPr>
              <w:pStyle w:val="6"/>
              <w:spacing w:before="68" w:line="220" w:lineRule="auto"/>
              <w:ind w:left="356"/>
            </w:pPr>
            <w:r>
              <w:rPr>
                <w:color w:val="405050"/>
                <w:spacing w:val="3"/>
              </w:rPr>
              <w:t>石拐区住建局</w:t>
            </w:r>
          </w:p>
        </w:tc>
        <w:tc>
          <w:tcPr>
            <w:tcW w:w="1074" w:type="dxa"/>
            <w:vMerge w:val="restart"/>
            <w:tcBorders>
              <w:bottom w:val="nil"/>
            </w:tcBorders>
            <w:vAlign w:val="top"/>
          </w:tcPr>
          <w:p w14:paraId="608C9E8D">
            <w:pPr>
              <w:spacing w:line="286" w:lineRule="auto"/>
              <w:rPr>
                <w:rFonts w:ascii="Arial"/>
                <w:sz w:val="21"/>
              </w:rPr>
            </w:pPr>
          </w:p>
          <w:p w14:paraId="006AFB43">
            <w:pPr>
              <w:spacing w:line="287" w:lineRule="auto"/>
              <w:rPr>
                <w:rFonts w:ascii="Arial"/>
                <w:sz w:val="21"/>
              </w:rPr>
            </w:pPr>
          </w:p>
          <w:p w14:paraId="156F671B">
            <w:pPr>
              <w:pStyle w:val="6"/>
              <w:spacing w:before="68" w:line="220" w:lineRule="auto"/>
              <w:ind w:left="110"/>
            </w:pPr>
            <w:r>
              <w:rPr>
                <w:color w:val="404050"/>
                <w:spacing w:val="3"/>
              </w:rPr>
              <w:t>定期补充</w:t>
            </w:r>
          </w:p>
        </w:tc>
      </w:tr>
      <w:tr w14:paraId="706D7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4" w:type="dxa"/>
            <w:vMerge w:val="continue"/>
            <w:tcBorders>
              <w:top w:val="nil"/>
              <w:bottom w:val="nil"/>
            </w:tcBorders>
            <w:vAlign w:val="top"/>
          </w:tcPr>
          <w:p w14:paraId="2E18F39A">
            <w:pPr>
              <w:rPr>
                <w:rFonts w:ascii="Arial"/>
                <w:sz w:val="21"/>
              </w:rPr>
            </w:pPr>
          </w:p>
        </w:tc>
        <w:tc>
          <w:tcPr>
            <w:tcW w:w="1278" w:type="dxa"/>
            <w:vAlign w:val="top"/>
          </w:tcPr>
          <w:p w14:paraId="657C373F">
            <w:pPr>
              <w:pStyle w:val="6"/>
              <w:spacing w:before="85" w:line="219" w:lineRule="auto"/>
              <w:ind w:left="210"/>
            </w:pPr>
            <w:r>
              <w:rPr>
                <w:spacing w:val="3"/>
              </w:rPr>
              <w:t>头部防护</w:t>
            </w:r>
          </w:p>
        </w:tc>
        <w:tc>
          <w:tcPr>
            <w:tcW w:w="2367" w:type="dxa"/>
            <w:vAlign w:val="top"/>
          </w:tcPr>
          <w:p w14:paraId="47375A6F">
            <w:pPr>
              <w:pStyle w:val="6"/>
              <w:spacing w:before="84" w:line="219" w:lineRule="auto"/>
              <w:ind w:left="862"/>
            </w:pPr>
            <w:r>
              <w:rPr>
                <w:spacing w:val="6"/>
              </w:rPr>
              <w:t>安全帽</w:t>
            </w:r>
          </w:p>
        </w:tc>
        <w:tc>
          <w:tcPr>
            <w:tcW w:w="809" w:type="dxa"/>
            <w:vAlign w:val="top"/>
          </w:tcPr>
          <w:p w14:paraId="75E678B9">
            <w:pPr>
              <w:pStyle w:val="6"/>
              <w:spacing w:before="85" w:line="219" w:lineRule="auto"/>
              <w:ind w:left="186"/>
            </w:pPr>
            <w:r>
              <w:rPr>
                <w:spacing w:val="2"/>
              </w:rPr>
              <w:t>10个</w:t>
            </w:r>
          </w:p>
        </w:tc>
        <w:tc>
          <w:tcPr>
            <w:tcW w:w="1977" w:type="dxa"/>
            <w:vMerge w:val="continue"/>
            <w:tcBorders>
              <w:top w:val="nil"/>
              <w:bottom w:val="nil"/>
            </w:tcBorders>
            <w:vAlign w:val="top"/>
          </w:tcPr>
          <w:p w14:paraId="2BEA509F">
            <w:pPr>
              <w:rPr>
                <w:rFonts w:ascii="Arial"/>
                <w:sz w:val="21"/>
              </w:rPr>
            </w:pPr>
          </w:p>
        </w:tc>
        <w:tc>
          <w:tcPr>
            <w:tcW w:w="1074" w:type="dxa"/>
            <w:vMerge w:val="continue"/>
            <w:tcBorders>
              <w:top w:val="nil"/>
              <w:bottom w:val="nil"/>
            </w:tcBorders>
            <w:vAlign w:val="top"/>
          </w:tcPr>
          <w:p w14:paraId="08BFD337">
            <w:pPr>
              <w:rPr>
                <w:rFonts w:ascii="Arial"/>
                <w:sz w:val="21"/>
              </w:rPr>
            </w:pPr>
          </w:p>
        </w:tc>
      </w:tr>
      <w:tr w14:paraId="6DBE9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84" w:type="dxa"/>
            <w:vMerge w:val="continue"/>
            <w:tcBorders>
              <w:top w:val="nil"/>
              <w:bottom w:val="nil"/>
            </w:tcBorders>
            <w:vAlign w:val="top"/>
          </w:tcPr>
          <w:p w14:paraId="3055A7D8">
            <w:pPr>
              <w:rPr>
                <w:rFonts w:ascii="Arial"/>
                <w:sz w:val="21"/>
              </w:rPr>
            </w:pPr>
          </w:p>
        </w:tc>
        <w:tc>
          <w:tcPr>
            <w:tcW w:w="1278" w:type="dxa"/>
            <w:vMerge w:val="restart"/>
            <w:tcBorders>
              <w:bottom w:val="nil"/>
            </w:tcBorders>
            <w:vAlign w:val="top"/>
          </w:tcPr>
          <w:p w14:paraId="6DC4BB58">
            <w:pPr>
              <w:pStyle w:val="6"/>
              <w:spacing w:before="266" w:line="219" w:lineRule="auto"/>
              <w:ind w:left="210"/>
            </w:pPr>
            <w:r>
              <w:rPr>
                <w:spacing w:val="3"/>
              </w:rPr>
              <w:t>手部防护</w:t>
            </w:r>
          </w:p>
        </w:tc>
        <w:tc>
          <w:tcPr>
            <w:tcW w:w="2367" w:type="dxa"/>
            <w:vAlign w:val="top"/>
          </w:tcPr>
          <w:p w14:paraId="38F1BF35">
            <w:pPr>
              <w:pStyle w:val="6"/>
              <w:spacing w:before="87" w:line="220" w:lineRule="auto"/>
              <w:ind w:left="653"/>
            </w:pPr>
            <w:r>
              <w:rPr>
                <w:spacing w:val="2"/>
              </w:rPr>
              <w:t>防酸碱手套</w:t>
            </w:r>
          </w:p>
        </w:tc>
        <w:tc>
          <w:tcPr>
            <w:tcW w:w="809" w:type="dxa"/>
            <w:vAlign w:val="top"/>
          </w:tcPr>
          <w:p w14:paraId="341C58F9">
            <w:pPr>
              <w:pStyle w:val="6"/>
              <w:spacing w:before="87" w:line="220" w:lineRule="auto"/>
              <w:ind w:left="186"/>
            </w:pPr>
            <w:r>
              <w:rPr>
                <w:spacing w:val="3"/>
              </w:rPr>
              <w:t>10套</w:t>
            </w:r>
          </w:p>
        </w:tc>
        <w:tc>
          <w:tcPr>
            <w:tcW w:w="1977" w:type="dxa"/>
            <w:vMerge w:val="continue"/>
            <w:tcBorders>
              <w:top w:val="nil"/>
              <w:bottom w:val="nil"/>
            </w:tcBorders>
            <w:vAlign w:val="top"/>
          </w:tcPr>
          <w:p w14:paraId="12BD32B6">
            <w:pPr>
              <w:rPr>
                <w:rFonts w:ascii="Arial"/>
                <w:sz w:val="21"/>
              </w:rPr>
            </w:pPr>
          </w:p>
        </w:tc>
        <w:tc>
          <w:tcPr>
            <w:tcW w:w="1074" w:type="dxa"/>
            <w:vMerge w:val="continue"/>
            <w:tcBorders>
              <w:top w:val="nil"/>
              <w:bottom w:val="nil"/>
            </w:tcBorders>
            <w:vAlign w:val="top"/>
          </w:tcPr>
          <w:p w14:paraId="7F5C4B13">
            <w:pPr>
              <w:rPr>
                <w:rFonts w:ascii="Arial"/>
                <w:sz w:val="21"/>
              </w:rPr>
            </w:pPr>
          </w:p>
        </w:tc>
      </w:tr>
      <w:tr w14:paraId="721C9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84" w:type="dxa"/>
            <w:vMerge w:val="continue"/>
            <w:tcBorders>
              <w:top w:val="nil"/>
            </w:tcBorders>
            <w:vAlign w:val="top"/>
          </w:tcPr>
          <w:p w14:paraId="5384DDA1">
            <w:pPr>
              <w:rPr>
                <w:rFonts w:ascii="Arial"/>
                <w:sz w:val="21"/>
              </w:rPr>
            </w:pPr>
          </w:p>
        </w:tc>
        <w:tc>
          <w:tcPr>
            <w:tcW w:w="1278" w:type="dxa"/>
            <w:vMerge w:val="continue"/>
            <w:tcBorders>
              <w:top w:val="nil"/>
            </w:tcBorders>
            <w:vAlign w:val="top"/>
          </w:tcPr>
          <w:p w14:paraId="2B52E22B">
            <w:pPr>
              <w:rPr>
                <w:rFonts w:ascii="Arial"/>
                <w:sz w:val="21"/>
              </w:rPr>
            </w:pPr>
          </w:p>
        </w:tc>
        <w:tc>
          <w:tcPr>
            <w:tcW w:w="2367" w:type="dxa"/>
            <w:vAlign w:val="top"/>
          </w:tcPr>
          <w:p w14:paraId="32FC2AA2">
            <w:pPr>
              <w:pStyle w:val="6"/>
              <w:spacing w:before="88" w:line="220" w:lineRule="auto"/>
              <w:ind w:left="542"/>
            </w:pPr>
            <w:r>
              <w:rPr>
                <w:spacing w:val="1"/>
              </w:rPr>
              <w:t>防化学品手套</w:t>
            </w:r>
          </w:p>
        </w:tc>
        <w:tc>
          <w:tcPr>
            <w:tcW w:w="809" w:type="dxa"/>
            <w:vAlign w:val="top"/>
          </w:tcPr>
          <w:p w14:paraId="105A844B">
            <w:pPr>
              <w:pStyle w:val="6"/>
              <w:spacing w:before="88" w:line="220" w:lineRule="auto"/>
              <w:ind w:left="186"/>
            </w:pPr>
            <w:r>
              <w:rPr>
                <w:spacing w:val="3"/>
              </w:rPr>
              <w:t>10套</w:t>
            </w:r>
          </w:p>
        </w:tc>
        <w:tc>
          <w:tcPr>
            <w:tcW w:w="1977" w:type="dxa"/>
            <w:vMerge w:val="continue"/>
            <w:tcBorders>
              <w:top w:val="nil"/>
            </w:tcBorders>
            <w:vAlign w:val="top"/>
          </w:tcPr>
          <w:p w14:paraId="49649688">
            <w:pPr>
              <w:rPr>
                <w:rFonts w:ascii="Arial"/>
                <w:sz w:val="21"/>
              </w:rPr>
            </w:pPr>
          </w:p>
        </w:tc>
        <w:tc>
          <w:tcPr>
            <w:tcW w:w="1074" w:type="dxa"/>
            <w:vMerge w:val="continue"/>
            <w:tcBorders>
              <w:top w:val="nil"/>
            </w:tcBorders>
            <w:vAlign w:val="top"/>
          </w:tcPr>
          <w:p w14:paraId="1FBD3CC9">
            <w:pPr>
              <w:rPr>
                <w:rFonts w:ascii="Arial"/>
                <w:sz w:val="21"/>
              </w:rPr>
            </w:pPr>
          </w:p>
        </w:tc>
      </w:tr>
    </w:tbl>
    <w:p w14:paraId="7982F1FE">
      <w:pPr>
        <w:spacing w:line="180" w:lineRule="exact"/>
        <w:rPr>
          <w:rFonts w:ascii="Arial"/>
          <w:sz w:val="15"/>
        </w:rPr>
      </w:pPr>
    </w:p>
    <w:p w14:paraId="50643C04">
      <w:pPr>
        <w:spacing w:line="180" w:lineRule="exact"/>
        <w:rPr>
          <w:rFonts w:ascii="Arial" w:hAnsi="Arial" w:eastAsia="Arial" w:cs="Arial"/>
          <w:sz w:val="15"/>
          <w:szCs w:val="15"/>
        </w:rPr>
        <w:sectPr>
          <w:footerReference r:id="rId32" w:type="default"/>
          <w:pgSz w:w="11910" w:h="16850"/>
          <w:pgMar w:top="1432" w:right="1725" w:bottom="1315" w:left="1584" w:header="0" w:footer="1153" w:gutter="0"/>
          <w:cols w:space="720" w:num="1"/>
        </w:sectPr>
      </w:pPr>
    </w:p>
    <w:tbl>
      <w:tblPr>
        <w:tblStyle w:val="5"/>
        <w:tblW w:w="85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268"/>
        <w:gridCol w:w="2387"/>
        <w:gridCol w:w="809"/>
        <w:gridCol w:w="1987"/>
        <w:gridCol w:w="1064"/>
      </w:tblGrid>
      <w:tr w14:paraId="66430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84" w:type="dxa"/>
            <w:vAlign w:val="top"/>
          </w:tcPr>
          <w:p w14:paraId="73F224A4">
            <w:pPr>
              <w:pStyle w:val="6"/>
              <w:spacing w:before="261" w:line="221" w:lineRule="auto"/>
              <w:ind w:left="118"/>
            </w:pPr>
            <w:r>
              <w:rPr>
                <w:b/>
                <w:bCs/>
                <w:color w:val="606060"/>
                <w:spacing w:val="-4"/>
              </w:rPr>
              <w:t>应急物资</w:t>
            </w:r>
          </w:p>
        </w:tc>
        <w:tc>
          <w:tcPr>
            <w:tcW w:w="1268" w:type="dxa"/>
            <w:vAlign w:val="top"/>
          </w:tcPr>
          <w:p w14:paraId="2C9942C8">
            <w:pPr>
              <w:pStyle w:val="6"/>
              <w:spacing w:before="260" w:line="219" w:lineRule="auto"/>
              <w:ind w:left="414"/>
            </w:pPr>
            <w:r>
              <w:rPr>
                <w:b/>
                <w:bCs/>
                <w:color w:val="405040"/>
                <w:spacing w:val="-5"/>
              </w:rPr>
              <w:t>种类</w:t>
            </w:r>
          </w:p>
        </w:tc>
        <w:tc>
          <w:tcPr>
            <w:tcW w:w="2387" w:type="dxa"/>
            <w:vAlign w:val="top"/>
          </w:tcPr>
          <w:p w14:paraId="5C7730AC">
            <w:pPr>
              <w:pStyle w:val="6"/>
              <w:spacing w:before="263" w:line="221" w:lineRule="auto"/>
              <w:ind w:left="976"/>
            </w:pPr>
            <w:r>
              <w:rPr>
                <w:b/>
                <w:bCs/>
                <w:color w:val="204030"/>
                <w:spacing w:val="-6"/>
              </w:rPr>
              <w:t>名</w:t>
            </w:r>
            <w:r>
              <w:rPr>
                <w:b/>
                <w:bCs/>
                <w:color w:val="506060"/>
                <w:spacing w:val="-6"/>
              </w:rPr>
              <w:t>称</w:t>
            </w:r>
          </w:p>
        </w:tc>
        <w:tc>
          <w:tcPr>
            <w:tcW w:w="809" w:type="dxa"/>
            <w:vAlign w:val="top"/>
          </w:tcPr>
          <w:p w14:paraId="084DA398">
            <w:pPr>
              <w:pStyle w:val="6"/>
              <w:spacing w:before="71" w:line="220" w:lineRule="auto"/>
              <w:ind w:left="189"/>
            </w:pPr>
            <w:r>
              <w:rPr>
                <w:b/>
                <w:bCs/>
                <w:color w:val="404050"/>
                <w:spacing w:val="-5"/>
              </w:rPr>
              <w:t>储备</w:t>
            </w:r>
          </w:p>
          <w:p w14:paraId="6CF588D1">
            <w:pPr>
              <w:pStyle w:val="6"/>
              <w:spacing w:before="145" w:line="217" w:lineRule="auto"/>
              <w:ind w:left="299"/>
            </w:pPr>
            <w:r>
              <w:rPr>
                <w:b/>
                <w:bCs/>
                <w:color w:val="505050"/>
                <w:spacing w:val="-3"/>
              </w:rPr>
              <w:t>量</w:t>
            </w:r>
          </w:p>
        </w:tc>
        <w:tc>
          <w:tcPr>
            <w:tcW w:w="1987" w:type="dxa"/>
            <w:vAlign w:val="top"/>
          </w:tcPr>
          <w:p w14:paraId="3BEDC220">
            <w:pPr>
              <w:pStyle w:val="6"/>
              <w:spacing w:before="260" w:line="219" w:lineRule="auto"/>
              <w:ind w:left="550"/>
            </w:pPr>
            <w:r>
              <w:rPr>
                <w:b/>
                <w:bCs/>
                <w:color w:val="506060"/>
                <w:spacing w:val="-4"/>
              </w:rPr>
              <w:t>储存位置</w:t>
            </w:r>
          </w:p>
        </w:tc>
        <w:tc>
          <w:tcPr>
            <w:tcW w:w="1064" w:type="dxa"/>
            <w:vAlign w:val="top"/>
          </w:tcPr>
          <w:p w14:paraId="23779445">
            <w:pPr>
              <w:pStyle w:val="6"/>
              <w:spacing w:before="261" w:line="221" w:lineRule="auto"/>
              <w:ind w:left="323"/>
            </w:pPr>
            <w:r>
              <w:rPr>
                <w:b/>
                <w:bCs/>
                <w:color w:val="606060"/>
                <w:spacing w:val="-7"/>
              </w:rPr>
              <w:t>备</w:t>
            </w:r>
            <w:r>
              <w:rPr>
                <w:b/>
                <w:bCs/>
                <w:color w:val="607060"/>
                <w:spacing w:val="-7"/>
              </w:rPr>
              <w:t>注</w:t>
            </w:r>
          </w:p>
        </w:tc>
      </w:tr>
      <w:tr w14:paraId="31ECD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84" w:type="dxa"/>
            <w:vMerge w:val="restart"/>
            <w:tcBorders>
              <w:bottom w:val="nil"/>
            </w:tcBorders>
            <w:vAlign w:val="top"/>
          </w:tcPr>
          <w:p w14:paraId="78ACE7F4">
            <w:pPr>
              <w:rPr>
                <w:rFonts w:ascii="Arial"/>
                <w:sz w:val="21"/>
              </w:rPr>
            </w:pPr>
          </w:p>
        </w:tc>
        <w:tc>
          <w:tcPr>
            <w:tcW w:w="1268" w:type="dxa"/>
            <w:vMerge w:val="restart"/>
            <w:tcBorders>
              <w:bottom w:val="nil"/>
            </w:tcBorders>
            <w:vAlign w:val="top"/>
          </w:tcPr>
          <w:p w14:paraId="3AD9C408">
            <w:pPr>
              <w:pStyle w:val="6"/>
              <w:spacing w:before="279" w:line="219" w:lineRule="auto"/>
              <w:ind w:left="200"/>
            </w:pPr>
            <w:r>
              <w:rPr>
                <w:spacing w:val="3"/>
              </w:rPr>
              <w:t>足部防护</w:t>
            </w:r>
          </w:p>
        </w:tc>
        <w:tc>
          <w:tcPr>
            <w:tcW w:w="2387" w:type="dxa"/>
            <w:vAlign w:val="top"/>
          </w:tcPr>
          <w:p w14:paraId="3FEDADCE">
            <w:pPr>
              <w:pStyle w:val="6"/>
              <w:spacing w:before="80" w:line="220" w:lineRule="auto"/>
              <w:ind w:left="763"/>
            </w:pPr>
            <w:r>
              <w:rPr>
                <w:spacing w:val="2"/>
              </w:rPr>
              <w:t>防酸碱鞋</w:t>
            </w:r>
          </w:p>
        </w:tc>
        <w:tc>
          <w:tcPr>
            <w:tcW w:w="809" w:type="dxa"/>
            <w:vAlign w:val="top"/>
          </w:tcPr>
          <w:p w14:paraId="60476F81">
            <w:pPr>
              <w:pStyle w:val="6"/>
              <w:spacing w:before="80" w:line="220" w:lineRule="auto"/>
              <w:ind w:left="186"/>
            </w:pPr>
            <w:r>
              <w:rPr>
                <w:spacing w:val="3"/>
              </w:rPr>
              <w:t>10套</w:t>
            </w:r>
          </w:p>
        </w:tc>
        <w:tc>
          <w:tcPr>
            <w:tcW w:w="1987" w:type="dxa"/>
            <w:vMerge w:val="restart"/>
            <w:tcBorders>
              <w:bottom w:val="nil"/>
            </w:tcBorders>
            <w:vAlign w:val="top"/>
          </w:tcPr>
          <w:p w14:paraId="593CBFB4">
            <w:pPr>
              <w:rPr>
                <w:rFonts w:ascii="Arial"/>
                <w:sz w:val="21"/>
              </w:rPr>
            </w:pPr>
          </w:p>
        </w:tc>
        <w:tc>
          <w:tcPr>
            <w:tcW w:w="1064" w:type="dxa"/>
            <w:vMerge w:val="restart"/>
            <w:tcBorders>
              <w:bottom w:val="nil"/>
            </w:tcBorders>
            <w:vAlign w:val="top"/>
          </w:tcPr>
          <w:p w14:paraId="3742B231">
            <w:pPr>
              <w:rPr>
                <w:rFonts w:ascii="Arial"/>
                <w:sz w:val="21"/>
              </w:rPr>
            </w:pPr>
          </w:p>
        </w:tc>
      </w:tr>
      <w:tr w14:paraId="3CDEF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84" w:type="dxa"/>
            <w:vMerge w:val="continue"/>
            <w:tcBorders>
              <w:top w:val="nil"/>
            </w:tcBorders>
            <w:vAlign w:val="top"/>
          </w:tcPr>
          <w:p w14:paraId="461B7FBA">
            <w:pPr>
              <w:rPr>
                <w:rFonts w:ascii="Arial"/>
                <w:sz w:val="21"/>
              </w:rPr>
            </w:pPr>
          </w:p>
        </w:tc>
        <w:tc>
          <w:tcPr>
            <w:tcW w:w="1268" w:type="dxa"/>
            <w:vMerge w:val="continue"/>
            <w:tcBorders>
              <w:top w:val="nil"/>
            </w:tcBorders>
            <w:vAlign w:val="top"/>
          </w:tcPr>
          <w:p w14:paraId="30FFA6A2">
            <w:pPr>
              <w:rPr>
                <w:rFonts w:ascii="Arial"/>
                <w:sz w:val="21"/>
              </w:rPr>
            </w:pPr>
          </w:p>
        </w:tc>
        <w:tc>
          <w:tcPr>
            <w:tcW w:w="2387" w:type="dxa"/>
            <w:vAlign w:val="top"/>
          </w:tcPr>
          <w:p w14:paraId="0D8F2C2B">
            <w:pPr>
              <w:pStyle w:val="6"/>
              <w:spacing w:before="99" w:line="219" w:lineRule="auto"/>
              <w:ind w:left="133"/>
            </w:pPr>
            <w:r>
              <w:rPr>
                <w:spacing w:val="-1"/>
              </w:rPr>
              <w:t>耐化学品的工业橡胶鞋</w:t>
            </w:r>
          </w:p>
        </w:tc>
        <w:tc>
          <w:tcPr>
            <w:tcW w:w="809" w:type="dxa"/>
            <w:vAlign w:val="top"/>
          </w:tcPr>
          <w:p w14:paraId="7343347F">
            <w:pPr>
              <w:pStyle w:val="6"/>
              <w:spacing w:before="100" w:line="220" w:lineRule="auto"/>
              <w:ind w:left="186"/>
            </w:pPr>
            <w:r>
              <w:rPr>
                <w:spacing w:val="3"/>
              </w:rPr>
              <w:t>10套</w:t>
            </w:r>
          </w:p>
        </w:tc>
        <w:tc>
          <w:tcPr>
            <w:tcW w:w="1987" w:type="dxa"/>
            <w:vMerge w:val="continue"/>
            <w:tcBorders>
              <w:top w:val="nil"/>
              <w:bottom w:val="nil"/>
            </w:tcBorders>
            <w:vAlign w:val="top"/>
          </w:tcPr>
          <w:p w14:paraId="556E81B2">
            <w:pPr>
              <w:rPr>
                <w:rFonts w:ascii="Arial"/>
                <w:sz w:val="21"/>
              </w:rPr>
            </w:pPr>
          </w:p>
        </w:tc>
        <w:tc>
          <w:tcPr>
            <w:tcW w:w="1064" w:type="dxa"/>
            <w:vMerge w:val="continue"/>
            <w:tcBorders>
              <w:top w:val="nil"/>
            </w:tcBorders>
            <w:vAlign w:val="top"/>
          </w:tcPr>
          <w:p w14:paraId="19C296C2">
            <w:pPr>
              <w:rPr>
                <w:rFonts w:ascii="Arial"/>
                <w:sz w:val="21"/>
              </w:rPr>
            </w:pPr>
          </w:p>
        </w:tc>
      </w:tr>
      <w:tr w14:paraId="73915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084" w:type="dxa"/>
            <w:vMerge w:val="restart"/>
            <w:tcBorders>
              <w:bottom w:val="nil"/>
            </w:tcBorders>
            <w:vAlign w:val="top"/>
          </w:tcPr>
          <w:p w14:paraId="0B609CB9">
            <w:pPr>
              <w:spacing w:line="256" w:lineRule="auto"/>
              <w:rPr>
                <w:rFonts w:ascii="Arial"/>
                <w:sz w:val="21"/>
              </w:rPr>
            </w:pPr>
          </w:p>
          <w:p w14:paraId="0B65ED4E">
            <w:pPr>
              <w:spacing w:line="256" w:lineRule="auto"/>
              <w:rPr>
                <w:rFonts w:ascii="Arial"/>
                <w:sz w:val="21"/>
              </w:rPr>
            </w:pPr>
          </w:p>
          <w:p w14:paraId="64EAB0CC">
            <w:pPr>
              <w:spacing w:line="256" w:lineRule="auto"/>
              <w:rPr>
                <w:rFonts w:ascii="Arial"/>
                <w:sz w:val="21"/>
              </w:rPr>
            </w:pPr>
          </w:p>
          <w:p w14:paraId="5C2E6368">
            <w:pPr>
              <w:spacing w:line="256" w:lineRule="auto"/>
              <w:rPr>
                <w:rFonts w:ascii="Arial"/>
                <w:sz w:val="21"/>
              </w:rPr>
            </w:pPr>
          </w:p>
          <w:p w14:paraId="1AB3E783">
            <w:pPr>
              <w:spacing w:line="256" w:lineRule="auto"/>
              <w:rPr>
                <w:rFonts w:ascii="Arial"/>
                <w:sz w:val="21"/>
              </w:rPr>
            </w:pPr>
          </w:p>
          <w:p w14:paraId="72405C44">
            <w:pPr>
              <w:spacing w:line="256" w:lineRule="auto"/>
              <w:rPr>
                <w:rFonts w:ascii="Arial"/>
                <w:sz w:val="21"/>
              </w:rPr>
            </w:pPr>
          </w:p>
          <w:p w14:paraId="15BF5326">
            <w:pPr>
              <w:spacing w:line="256" w:lineRule="auto"/>
              <w:rPr>
                <w:rFonts w:ascii="Arial"/>
                <w:sz w:val="21"/>
              </w:rPr>
            </w:pPr>
          </w:p>
          <w:p w14:paraId="59BE31CC">
            <w:pPr>
              <w:pStyle w:val="6"/>
              <w:spacing w:before="68" w:line="310" w:lineRule="auto"/>
              <w:ind w:left="214" w:right="128" w:hanging="99"/>
            </w:pPr>
            <w:r>
              <w:rPr>
                <w:spacing w:val="-3"/>
              </w:rPr>
              <w:t>污染物控</w:t>
            </w:r>
            <w:r>
              <w:rPr>
                <w:spacing w:val="1"/>
              </w:rPr>
              <w:t xml:space="preserve"> </w:t>
            </w:r>
            <w:r>
              <w:rPr>
                <w:spacing w:val="5"/>
              </w:rPr>
              <w:t>制物资</w:t>
            </w:r>
          </w:p>
        </w:tc>
        <w:tc>
          <w:tcPr>
            <w:tcW w:w="1268" w:type="dxa"/>
            <w:vMerge w:val="restart"/>
            <w:tcBorders>
              <w:bottom w:val="nil"/>
            </w:tcBorders>
            <w:vAlign w:val="top"/>
          </w:tcPr>
          <w:p w14:paraId="16E498B3">
            <w:pPr>
              <w:pStyle w:val="6"/>
              <w:spacing w:before="300" w:line="219" w:lineRule="auto"/>
              <w:ind w:left="311"/>
            </w:pPr>
            <w:r>
              <w:rPr>
                <w:spacing w:val="3"/>
              </w:rPr>
              <w:t>围堵类</w:t>
            </w:r>
          </w:p>
        </w:tc>
        <w:tc>
          <w:tcPr>
            <w:tcW w:w="2387" w:type="dxa"/>
            <w:vAlign w:val="top"/>
          </w:tcPr>
          <w:p w14:paraId="4614C450">
            <w:pPr>
              <w:pStyle w:val="6"/>
              <w:spacing w:before="154" w:line="222" w:lineRule="auto"/>
              <w:ind w:left="763"/>
            </w:pPr>
            <w:r>
              <w:rPr>
                <w:spacing w:val="-2"/>
              </w:rPr>
              <w:t>沙包沙袋</w:t>
            </w:r>
          </w:p>
        </w:tc>
        <w:tc>
          <w:tcPr>
            <w:tcW w:w="809" w:type="dxa"/>
            <w:vAlign w:val="top"/>
          </w:tcPr>
          <w:p w14:paraId="4CEB061E">
            <w:pPr>
              <w:pStyle w:val="6"/>
              <w:spacing w:before="154" w:line="222" w:lineRule="auto"/>
              <w:ind w:left="186"/>
            </w:pPr>
            <w:r>
              <w:rPr>
                <w:spacing w:val="2"/>
              </w:rPr>
              <w:t>50袋</w:t>
            </w:r>
          </w:p>
        </w:tc>
        <w:tc>
          <w:tcPr>
            <w:tcW w:w="1987" w:type="dxa"/>
            <w:vMerge w:val="continue"/>
            <w:tcBorders>
              <w:top w:val="nil"/>
              <w:bottom w:val="nil"/>
            </w:tcBorders>
            <w:vAlign w:val="top"/>
          </w:tcPr>
          <w:p w14:paraId="467EB1F1">
            <w:pPr>
              <w:rPr>
                <w:rFonts w:ascii="Arial"/>
                <w:sz w:val="21"/>
              </w:rPr>
            </w:pPr>
          </w:p>
        </w:tc>
        <w:tc>
          <w:tcPr>
            <w:tcW w:w="1064" w:type="dxa"/>
            <w:vMerge w:val="restart"/>
            <w:tcBorders>
              <w:bottom w:val="nil"/>
            </w:tcBorders>
            <w:vAlign w:val="top"/>
          </w:tcPr>
          <w:p w14:paraId="66ABE217">
            <w:pPr>
              <w:pStyle w:val="6"/>
              <w:spacing w:before="299" w:line="219" w:lineRule="auto"/>
              <w:ind w:left="320"/>
            </w:pPr>
            <w:r>
              <w:rPr>
                <w:spacing w:val="-2"/>
              </w:rPr>
              <w:t>采购</w:t>
            </w:r>
          </w:p>
        </w:tc>
      </w:tr>
      <w:tr w14:paraId="3F044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0" w:hRule="atLeast"/>
        </w:trPr>
        <w:tc>
          <w:tcPr>
            <w:tcW w:w="1084" w:type="dxa"/>
            <w:vMerge w:val="continue"/>
            <w:tcBorders>
              <w:top w:val="nil"/>
              <w:bottom w:val="nil"/>
            </w:tcBorders>
            <w:vAlign w:val="top"/>
          </w:tcPr>
          <w:p w14:paraId="0060DF43">
            <w:pPr>
              <w:rPr>
                <w:rFonts w:ascii="Arial"/>
                <w:sz w:val="21"/>
              </w:rPr>
            </w:pPr>
          </w:p>
        </w:tc>
        <w:tc>
          <w:tcPr>
            <w:tcW w:w="1268" w:type="dxa"/>
            <w:vMerge w:val="continue"/>
            <w:tcBorders>
              <w:top w:val="nil"/>
            </w:tcBorders>
            <w:vAlign w:val="top"/>
          </w:tcPr>
          <w:p w14:paraId="30EFA831">
            <w:pPr>
              <w:rPr>
                <w:rFonts w:ascii="Arial"/>
                <w:sz w:val="21"/>
              </w:rPr>
            </w:pPr>
          </w:p>
        </w:tc>
        <w:tc>
          <w:tcPr>
            <w:tcW w:w="2387" w:type="dxa"/>
            <w:vAlign w:val="top"/>
          </w:tcPr>
          <w:p w14:paraId="36FAC7DE">
            <w:pPr>
              <w:pStyle w:val="6"/>
              <w:spacing w:before="82" w:line="220" w:lineRule="auto"/>
              <w:ind w:left="872"/>
            </w:pPr>
            <w:r>
              <w:rPr>
                <w:spacing w:val="4"/>
              </w:rPr>
              <w:t>围油索</w:t>
            </w:r>
          </w:p>
        </w:tc>
        <w:tc>
          <w:tcPr>
            <w:tcW w:w="809" w:type="dxa"/>
            <w:vAlign w:val="top"/>
          </w:tcPr>
          <w:p w14:paraId="563129B7">
            <w:pPr>
              <w:pStyle w:val="6"/>
              <w:spacing w:before="102" w:line="226" w:lineRule="auto"/>
              <w:ind w:left="136"/>
            </w:pPr>
            <w:r>
              <w:rPr>
                <w:spacing w:val="-4"/>
              </w:rPr>
              <w:t>1000m</w:t>
            </w:r>
          </w:p>
        </w:tc>
        <w:tc>
          <w:tcPr>
            <w:tcW w:w="1987" w:type="dxa"/>
            <w:vMerge w:val="continue"/>
            <w:tcBorders>
              <w:top w:val="nil"/>
              <w:bottom w:val="nil"/>
            </w:tcBorders>
            <w:vAlign w:val="top"/>
          </w:tcPr>
          <w:p w14:paraId="3ABD5770">
            <w:pPr>
              <w:rPr>
                <w:rFonts w:ascii="Arial"/>
                <w:sz w:val="21"/>
              </w:rPr>
            </w:pPr>
          </w:p>
        </w:tc>
        <w:tc>
          <w:tcPr>
            <w:tcW w:w="1064" w:type="dxa"/>
            <w:vMerge w:val="continue"/>
            <w:tcBorders>
              <w:top w:val="nil"/>
            </w:tcBorders>
            <w:vAlign w:val="top"/>
          </w:tcPr>
          <w:p w14:paraId="02AB7289">
            <w:pPr>
              <w:rPr>
                <w:rFonts w:ascii="Arial"/>
                <w:sz w:val="21"/>
              </w:rPr>
            </w:pPr>
          </w:p>
        </w:tc>
      </w:tr>
      <w:tr w14:paraId="4731C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084" w:type="dxa"/>
            <w:vMerge w:val="continue"/>
            <w:tcBorders>
              <w:top w:val="nil"/>
              <w:bottom w:val="nil"/>
            </w:tcBorders>
            <w:vAlign w:val="top"/>
          </w:tcPr>
          <w:p w14:paraId="01E75408">
            <w:pPr>
              <w:rPr>
                <w:rFonts w:ascii="Arial"/>
                <w:sz w:val="21"/>
              </w:rPr>
            </w:pPr>
          </w:p>
        </w:tc>
        <w:tc>
          <w:tcPr>
            <w:tcW w:w="1268" w:type="dxa"/>
            <w:vMerge w:val="restart"/>
            <w:tcBorders>
              <w:bottom w:val="nil"/>
            </w:tcBorders>
            <w:vAlign w:val="top"/>
          </w:tcPr>
          <w:p w14:paraId="058A5CDF">
            <w:pPr>
              <w:spacing w:line="255" w:lineRule="auto"/>
              <w:rPr>
                <w:rFonts w:ascii="Arial"/>
                <w:sz w:val="21"/>
              </w:rPr>
            </w:pPr>
          </w:p>
          <w:p w14:paraId="624EDEB8">
            <w:pPr>
              <w:spacing w:line="256" w:lineRule="auto"/>
              <w:rPr>
                <w:rFonts w:ascii="Arial"/>
                <w:sz w:val="21"/>
              </w:rPr>
            </w:pPr>
          </w:p>
          <w:p w14:paraId="46A11F71">
            <w:pPr>
              <w:spacing w:line="256" w:lineRule="auto"/>
              <w:rPr>
                <w:rFonts w:ascii="Arial"/>
                <w:sz w:val="21"/>
              </w:rPr>
            </w:pPr>
          </w:p>
          <w:p w14:paraId="49825662">
            <w:pPr>
              <w:pStyle w:val="6"/>
              <w:spacing w:before="68" w:line="219" w:lineRule="auto"/>
              <w:ind w:left="311"/>
            </w:pPr>
            <w:r>
              <w:rPr>
                <w:spacing w:val="4"/>
              </w:rPr>
              <w:t>吸附剂</w:t>
            </w:r>
          </w:p>
        </w:tc>
        <w:tc>
          <w:tcPr>
            <w:tcW w:w="2387" w:type="dxa"/>
            <w:vAlign w:val="top"/>
          </w:tcPr>
          <w:p w14:paraId="605A9DFF">
            <w:pPr>
              <w:pStyle w:val="6"/>
              <w:spacing w:before="212" w:line="220" w:lineRule="auto"/>
              <w:ind w:left="872"/>
            </w:pPr>
            <w:r>
              <w:rPr>
                <w:spacing w:val="-3"/>
              </w:rPr>
              <w:t>活性碳</w:t>
            </w:r>
          </w:p>
        </w:tc>
        <w:tc>
          <w:tcPr>
            <w:tcW w:w="809" w:type="dxa"/>
            <w:vAlign w:val="top"/>
          </w:tcPr>
          <w:p w14:paraId="22DB255A">
            <w:pPr>
              <w:pStyle w:val="6"/>
              <w:spacing w:before="63" w:line="244" w:lineRule="auto"/>
              <w:ind w:left="296" w:right="150" w:hanging="160"/>
            </w:pPr>
            <w:r>
              <w:rPr>
                <w:spacing w:val="-4"/>
              </w:rPr>
              <w:t>500千</w:t>
            </w:r>
            <w:r>
              <w:rPr>
                <w:spacing w:val="2"/>
              </w:rPr>
              <w:t xml:space="preserve"> </w:t>
            </w:r>
            <w:r>
              <w:t>克</w:t>
            </w:r>
          </w:p>
        </w:tc>
        <w:tc>
          <w:tcPr>
            <w:tcW w:w="1987" w:type="dxa"/>
            <w:vMerge w:val="continue"/>
            <w:tcBorders>
              <w:top w:val="nil"/>
              <w:bottom w:val="nil"/>
            </w:tcBorders>
            <w:vAlign w:val="top"/>
          </w:tcPr>
          <w:p w14:paraId="29DBE897">
            <w:pPr>
              <w:rPr>
                <w:rFonts w:ascii="Arial"/>
                <w:sz w:val="21"/>
              </w:rPr>
            </w:pPr>
          </w:p>
        </w:tc>
        <w:tc>
          <w:tcPr>
            <w:tcW w:w="1064" w:type="dxa"/>
            <w:vMerge w:val="restart"/>
            <w:tcBorders>
              <w:bottom w:val="nil"/>
            </w:tcBorders>
            <w:vAlign w:val="top"/>
          </w:tcPr>
          <w:p w14:paraId="0C26BCD7">
            <w:pPr>
              <w:spacing w:line="255" w:lineRule="auto"/>
              <w:rPr>
                <w:rFonts w:ascii="Arial"/>
                <w:sz w:val="21"/>
              </w:rPr>
            </w:pPr>
          </w:p>
          <w:p w14:paraId="145FCD96">
            <w:pPr>
              <w:spacing w:line="256" w:lineRule="auto"/>
              <w:rPr>
                <w:rFonts w:ascii="Arial"/>
                <w:sz w:val="21"/>
              </w:rPr>
            </w:pPr>
          </w:p>
          <w:p w14:paraId="5B8E93F0">
            <w:pPr>
              <w:spacing w:line="256" w:lineRule="auto"/>
              <w:rPr>
                <w:rFonts w:ascii="Arial"/>
                <w:sz w:val="21"/>
              </w:rPr>
            </w:pPr>
          </w:p>
          <w:p w14:paraId="472A1ED3">
            <w:pPr>
              <w:pStyle w:val="6"/>
              <w:spacing w:before="68" w:line="219" w:lineRule="auto"/>
              <w:ind w:left="320"/>
            </w:pPr>
            <w:r>
              <w:rPr>
                <w:spacing w:val="-2"/>
              </w:rPr>
              <w:t>采购</w:t>
            </w:r>
          </w:p>
        </w:tc>
      </w:tr>
      <w:tr w14:paraId="26B5D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084" w:type="dxa"/>
            <w:vMerge w:val="continue"/>
            <w:tcBorders>
              <w:top w:val="nil"/>
              <w:bottom w:val="nil"/>
            </w:tcBorders>
            <w:vAlign w:val="top"/>
          </w:tcPr>
          <w:p w14:paraId="11F3B114">
            <w:pPr>
              <w:rPr>
                <w:rFonts w:ascii="Arial"/>
                <w:sz w:val="21"/>
              </w:rPr>
            </w:pPr>
          </w:p>
        </w:tc>
        <w:tc>
          <w:tcPr>
            <w:tcW w:w="1268" w:type="dxa"/>
            <w:vMerge w:val="continue"/>
            <w:tcBorders>
              <w:top w:val="nil"/>
              <w:bottom w:val="nil"/>
            </w:tcBorders>
            <w:vAlign w:val="top"/>
          </w:tcPr>
          <w:p w14:paraId="547D4A10">
            <w:pPr>
              <w:rPr>
                <w:rFonts w:ascii="Arial"/>
                <w:sz w:val="21"/>
              </w:rPr>
            </w:pPr>
          </w:p>
        </w:tc>
        <w:tc>
          <w:tcPr>
            <w:tcW w:w="2387" w:type="dxa"/>
            <w:vAlign w:val="top"/>
          </w:tcPr>
          <w:p w14:paraId="38026959">
            <w:pPr>
              <w:pStyle w:val="6"/>
              <w:spacing w:before="152" w:line="219" w:lineRule="auto"/>
              <w:ind w:left="763"/>
            </w:pPr>
            <w:r>
              <w:rPr>
                <w:spacing w:val="2"/>
              </w:rPr>
              <w:t>吸油棉卷</w:t>
            </w:r>
          </w:p>
        </w:tc>
        <w:tc>
          <w:tcPr>
            <w:tcW w:w="809" w:type="dxa"/>
            <w:vAlign w:val="top"/>
          </w:tcPr>
          <w:p w14:paraId="140F59C6">
            <w:pPr>
              <w:pStyle w:val="6"/>
              <w:spacing w:before="159" w:line="226" w:lineRule="auto"/>
              <w:ind w:left="186"/>
            </w:pPr>
            <w:r>
              <w:rPr>
                <w:spacing w:val="2"/>
              </w:rPr>
              <w:t>50卷</w:t>
            </w:r>
          </w:p>
        </w:tc>
        <w:tc>
          <w:tcPr>
            <w:tcW w:w="1987" w:type="dxa"/>
            <w:vMerge w:val="continue"/>
            <w:tcBorders>
              <w:top w:val="nil"/>
              <w:bottom w:val="nil"/>
            </w:tcBorders>
            <w:vAlign w:val="top"/>
          </w:tcPr>
          <w:p w14:paraId="5D7B1E2F">
            <w:pPr>
              <w:rPr>
                <w:rFonts w:ascii="Arial"/>
                <w:sz w:val="21"/>
              </w:rPr>
            </w:pPr>
          </w:p>
        </w:tc>
        <w:tc>
          <w:tcPr>
            <w:tcW w:w="1064" w:type="dxa"/>
            <w:vMerge w:val="continue"/>
            <w:tcBorders>
              <w:top w:val="nil"/>
              <w:bottom w:val="nil"/>
            </w:tcBorders>
            <w:vAlign w:val="top"/>
          </w:tcPr>
          <w:p w14:paraId="4DEF6ABA">
            <w:pPr>
              <w:rPr>
                <w:rFonts w:ascii="Arial"/>
                <w:sz w:val="21"/>
              </w:rPr>
            </w:pPr>
          </w:p>
        </w:tc>
      </w:tr>
      <w:tr w14:paraId="15BC3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084" w:type="dxa"/>
            <w:vMerge w:val="continue"/>
            <w:tcBorders>
              <w:top w:val="nil"/>
              <w:bottom w:val="nil"/>
            </w:tcBorders>
            <w:vAlign w:val="top"/>
          </w:tcPr>
          <w:p w14:paraId="6BF6898B">
            <w:pPr>
              <w:rPr>
                <w:rFonts w:ascii="Arial"/>
                <w:sz w:val="21"/>
              </w:rPr>
            </w:pPr>
          </w:p>
        </w:tc>
        <w:tc>
          <w:tcPr>
            <w:tcW w:w="1268" w:type="dxa"/>
            <w:vMerge w:val="continue"/>
            <w:tcBorders>
              <w:top w:val="nil"/>
            </w:tcBorders>
            <w:vAlign w:val="top"/>
          </w:tcPr>
          <w:p w14:paraId="019F2176">
            <w:pPr>
              <w:rPr>
                <w:rFonts w:ascii="Arial"/>
                <w:sz w:val="21"/>
              </w:rPr>
            </w:pPr>
          </w:p>
        </w:tc>
        <w:tc>
          <w:tcPr>
            <w:tcW w:w="2387" w:type="dxa"/>
            <w:vAlign w:val="top"/>
          </w:tcPr>
          <w:p w14:paraId="3CA7B2AE">
            <w:pPr>
              <w:pStyle w:val="6"/>
              <w:spacing w:before="264" w:line="220" w:lineRule="auto"/>
              <w:ind w:left="872"/>
            </w:pPr>
            <w:r>
              <w:rPr>
                <w:spacing w:val="3"/>
              </w:rPr>
              <w:t>吸油毡</w:t>
            </w:r>
          </w:p>
        </w:tc>
        <w:tc>
          <w:tcPr>
            <w:tcW w:w="809" w:type="dxa"/>
            <w:vAlign w:val="top"/>
          </w:tcPr>
          <w:p w14:paraId="3953E57F">
            <w:pPr>
              <w:pStyle w:val="6"/>
              <w:spacing w:before="125" w:line="261" w:lineRule="auto"/>
              <w:ind w:left="296" w:right="150" w:hanging="160"/>
            </w:pPr>
            <w:r>
              <w:rPr>
                <w:spacing w:val="-4"/>
              </w:rPr>
              <w:t>300千</w:t>
            </w:r>
            <w:r>
              <w:rPr>
                <w:spacing w:val="2"/>
              </w:rPr>
              <w:t xml:space="preserve"> </w:t>
            </w:r>
            <w:r>
              <w:t>克</w:t>
            </w:r>
          </w:p>
        </w:tc>
        <w:tc>
          <w:tcPr>
            <w:tcW w:w="1987" w:type="dxa"/>
            <w:vMerge w:val="continue"/>
            <w:tcBorders>
              <w:top w:val="nil"/>
              <w:bottom w:val="nil"/>
            </w:tcBorders>
            <w:vAlign w:val="top"/>
          </w:tcPr>
          <w:p w14:paraId="08711E63">
            <w:pPr>
              <w:rPr>
                <w:rFonts w:ascii="Arial"/>
                <w:sz w:val="21"/>
              </w:rPr>
            </w:pPr>
          </w:p>
        </w:tc>
        <w:tc>
          <w:tcPr>
            <w:tcW w:w="1064" w:type="dxa"/>
            <w:vMerge w:val="continue"/>
            <w:tcBorders>
              <w:top w:val="nil"/>
            </w:tcBorders>
            <w:vAlign w:val="top"/>
          </w:tcPr>
          <w:p w14:paraId="710DB89A">
            <w:pPr>
              <w:rPr>
                <w:rFonts w:ascii="Arial"/>
                <w:sz w:val="21"/>
              </w:rPr>
            </w:pPr>
          </w:p>
        </w:tc>
      </w:tr>
      <w:tr w14:paraId="6635F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84" w:type="dxa"/>
            <w:vMerge w:val="continue"/>
            <w:tcBorders>
              <w:top w:val="nil"/>
              <w:bottom w:val="nil"/>
            </w:tcBorders>
            <w:vAlign w:val="top"/>
          </w:tcPr>
          <w:p w14:paraId="23814E96">
            <w:pPr>
              <w:rPr>
                <w:rFonts w:ascii="Arial"/>
                <w:sz w:val="21"/>
              </w:rPr>
            </w:pPr>
          </w:p>
        </w:tc>
        <w:tc>
          <w:tcPr>
            <w:tcW w:w="1268" w:type="dxa"/>
            <w:vMerge w:val="restart"/>
            <w:tcBorders>
              <w:bottom w:val="nil"/>
            </w:tcBorders>
            <w:vAlign w:val="top"/>
          </w:tcPr>
          <w:p w14:paraId="60FB3968">
            <w:pPr>
              <w:pStyle w:val="6"/>
              <w:spacing w:before="283" w:line="219" w:lineRule="auto"/>
              <w:ind w:left="311"/>
            </w:pPr>
            <w:r>
              <w:rPr>
                <w:spacing w:val="4"/>
              </w:rPr>
              <w:t>中和剂</w:t>
            </w:r>
          </w:p>
        </w:tc>
        <w:tc>
          <w:tcPr>
            <w:tcW w:w="2387" w:type="dxa"/>
            <w:vAlign w:val="top"/>
          </w:tcPr>
          <w:p w14:paraId="723EFE2C">
            <w:pPr>
              <w:pStyle w:val="6"/>
              <w:spacing w:before="84" w:line="219" w:lineRule="auto"/>
              <w:ind w:left="602"/>
            </w:pPr>
            <w:r>
              <w:rPr>
                <w:spacing w:val="2"/>
              </w:rPr>
              <w:t>纯碱-</w:t>
            </w:r>
            <w:r>
              <w:rPr>
                <w:color w:val="204040"/>
                <w:spacing w:val="2"/>
              </w:rPr>
              <w:t>消石灰</w:t>
            </w:r>
          </w:p>
        </w:tc>
        <w:tc>
          <w:tcPr>
            <w:tcW w:w="809" w:type="dxa"/>
            <w:vAlign w:val="top"/>
          </w:tcPr>
          <w:p w14:paraId="24EC7E1E">
            <w:pPr>
              <w:pStyle w:val="6"/>
              <w:spacing w:before="83" w:line="219" w:lineRule="auto"/>
              <w:ind w:left="186"/>
            </w:pPr>
            <w:r>
              <w:rPr>
                <w:spacing w:val="-3"/>
              </w:rPr>
              <w:t>若干</w:t>
            </w:r>
          </w:p>
        </w:tc>
        <w:tc>
          <w:tcPr>
            <w:tcW w:w="1987" w:type="dxa"/>
            <w:vMerge w:val="continue"/>
            <w:tcBorders>
              <w:top w:val="nil"/>
              <w:bottom w:val="nil"/>
            </w:tcBorders>
            <w:vAlign w:val="top"/>
          </w:tcPr>
          <w:p w14:paraId="7164244D">
            <w:pPr>
              <w:rPr>
                <w:rFonts w:ascii="Arial"/>
                <w:sz w:val="21"/>
              </w:rPr>
            </w:pPr>
          </w:p>
        </w:tc>
        <w:tc>
          <w:tcPr>
            <w:tcW w:w="1064" w:type="dxa"/>
            <w:vMerge w:val="restart"/>
            <w:tcBorders>
              <w:bottom w:val="nil"/>
            </w:tcBorders>
            <w:vAlign w:val="top"/>
          </w:tcPr>
          <w:p w14:paraId="2E3AC3A5">
            <w:pPr>
              <w:pStyle w:val="6"/>
              <w:spacing w:before="283" w:line="219" w:lineRule="auto"/>
              <w:ind w:left="320"/>
            </w:pPr>
            <w:r>
              <w:rPr>
                <w:spacing w:val="-2"/>
              </w:rPr>
              <w:t>采购</w:t>
            </w:r>
          </w:p>
        </w:tc>
      </w:tr>
      <w:tr w14:paraId="4511E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84" w:type="dxa"/>
            <w:vMerge w:val="continue"/>
            <w:tcBorders>
              <w:top w:val="nil"/>
              <w:bottom w:val="nil"/>
            </w:tcBorders>
            <w:vAlign w:val="top"/>
          </w:tcPr>
          <w:p w14:paraId="3CB4DBBE">
            <w:pPr>
              <w:rPr>
                <w:rFonts w:ascii="Arial"/>
                <w:sz w:val="21"/>
              </w:rPr>
            </w:pPr>
          </w:p>
        </w:tc>
        <w:tc>
          <w:tcPr>
            <w:tcW w:w="1268" w:type="dxa"/>
            <w:vMerge w:val="continue"/>
            <w:tcBorders>
              <w:top w:val="nil"/>
            </w:tcBorders>
            <w:vAlign w:val="top"/>
          </w:tcPr>
          <w:p w14:paraId="30115B53">
            <w:pPr>
              <w:rPr>
                <w:rFonts w:ascii="Arial"/>
                <w:sz w:val="21"/>
              </w:rPr>
            </w:pPr>
          </w:p>
        </w:tc>
        <w:tc>
          <w:tcPr>
            <w:tcW w:w="2387" w:type="dxa"/>
            <w:vAlign w:val="top"/>
          </w:tcPr>
          <w:p w14:paraId="0F7A2151">
            <w:pPr>
              <w:pStyle w:val="6"/>
              <w:spacing w:before="105" w:line="221" w:lineRule="auto"/>
              <w:ind w:left="872"/>
            </w:pPr>
            <w:r>
              <w:rPr>
                <w:spacing w:val="3"/>
              </w:rPr>
              <w:t>氯化氢</w:t>
            </w:r>
          </w:p>
        </w:tc>
        <w:tc>
          <w:tcPr>
            <w:tcW w:w="809" w:type="dxa"/>
            <w:vAlign w:val="top"/>
          </w:tcPr>
          <w:p w14:paraId="6DCA06EC">
            <w:pPr>
              <w:pStyle w:val="6"/>
              <w:spacing w:before="103" w:line="219" w:lineRule="auto"/>
              <w:ind w:left="186"/>
            </w:pPr>
            <w:r>
              <w:rPr>
                <w:spacing w:val="-3"/>
              </w:rPr>
              <w:t>若干</w:t>
            </w:r>
          </w:p>
        </w:tc>
        <w:tc>
          <w:tcPr>
            <w:tcW w:w="1987" w:type="dxa"/>
            <w:vMerge w:val="continue"/>
            <w:tcBorders>
              <w:top w:val="nil"/>
              <w:bottom w:val="nil"/>
            </w:tcBorders>
            <w:vAlign w:val="top"/>
          </w:tcPr>
          <w:p w14:paraId="001F1F1D">
            <w:pPr>
              <w:rPr>
                <w:rFonts w:ascii="Arial"/>
                <w:sz w:val="21"/>
              </w:rPr>
            </w:pPr>
          </w:p>
        </w:tc>
        <w:tc>
          <w:tcPr>
            <w:tcW w:w="1064" w:type="dxa"/>
            <w:vMerge w:val="continue"/>
            <w:tcBorders>
              <w:top w:val="nil"/>
            </w:tcBorders>
            <w:vAlign w:val="top"/>
          </w:tcPr>
          <w:p w14:paraId="321B36BB">
            <w:pPr>
              <w:rPr>
                <w:rFonts w:ascii="Arial"/>
                <w:sz w:val="21"/>
              </w:rPr>
            </w:pPr>
          </w:p>
        </w:tc>
      </w:tr>
      <w:tr w14:paraId="12F42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vAlign w:val="top"/>
          </w:tcPr>
          <w:p w14:paraId="2659C5DC">
            <w:pPr>
              <w:rPr>
                <w:rFonts w:ascii="Arial"/>
                <w:sz w:val="21"/>
              </w:rPr>
            </w:pPr>
          </w:p>
        </w:tc>
        <w:tc>
          <w:tcPr>
            <w:tcW w:w="1268" w:type="dxa"/>
            <w:vMerge w:val="restart"/>
            <w:tcBorders>
              <w:bottom w:val="nil"/>
            </w:tcBorders>
            <w:vAlign w:val="top"/>
          </w:tcPr>
          <w:p w14:paraId="62C754FD">
            <w:pPr>
              <w:pStyle w:val="6"/>
              <w:spacing w:before="274" w:line="219" w:lineRule="auto"/>
              <w:ind w:left="311"/>
            </w:pPr>
            <w:r>
              <w:rPr>
                <w:spacing w:val="4"/>
              </w:rPr>
              <w:t>絮凝剂</w:t>
            </w:r>
          </w:p>
        </w:tc>
        <w:tc>
          <w:tcPr>
            <w:tcW w:w="2387" w:type="dxa"/>
            <w:vAlign w:val="top"/>
          </w:tcPr>
          <w:p w14:paraId="18719F1E">
            <w:pPr>
              <w:pStyle w:val="6"/>
              <w:spacing w:before="86" w:line="220" w:lineRule="auto"/>
              <w:ind w:left="872"/>
            </w:pPr>
            <w:r>
              <w:rPr>
                <w:spacing w:val="-2"/>
              </w:rPr>
              <w:t>碳酸钠</w:t>
            </w:r>
          </w:p>
        </w:tc>
        <w:tc>
          <w:tcPr>
            <w:tcW w:w="809" w:type="dxa"/>
            <w:vAlign w:val="top"/>
          </w:tcPr>
          <w:p w14:paraId="75A5076A">
            <w:pPr>
              <w:pStyle w:val="6"/>
              <w:spacing w:before="84" w:line="219" w:lineRule="auto"/>
              <w:ind w:left="186"/>
            </w:pPr>
            <w:r>
              <w:rPr>
                <w:spacing w:val="-3"/>
              </w:rPr>
              <w:t>若干</w:t>
            </w:r>
          </w:p>
        </w:tc>
        <w:tc>
          <w:tcPr>
            <w:tcW w:w="1987" w:type="dxa"/>
            <w:vMerge w:val="continue"/>
            <w:tcBorders>
              <w:top w:val="nil"/>
              <w:bottom w:val="nil"/>
            </w:tcBorders>
            <w:vAlign w:val="top"/>
          </w:tcPr>
          <w:p w14:paraId="6763A88D">
            <w:pPr>
              <w:rPr>
                <w:rFonts w:ascii="Arial"/>
                <w:sz w:val="21"/>
              </w:rPr>
            </w:pPr>
          </w:p>
        </w:tc>
        <w:tc>
          <w:tcPr>
            <w:tcW w:w="1064" w:type="dxa"/>
            <w:vMerge w:val="restart"/>
            <w:tcBorders>
              <w:bottom w:val="nil"/>
            </w:tcBorders>
            <w:vAlign w:val="top"/>
          </w:tcPr>
          <w:p w14:paraId="72CB50F8">
            <w:pPr>
              <w:pStyle w:val="6"/>
              <w:spacing w:before="274" w:line="219" w:lineRule="auto"/>
              <w:ind w:left="320"/>
            </w:pPr>
            <w:r>
              <w:rPr>
                <w:color w:val="305050"/>
                <w:spacing w:val="-2"/>
              </w:rPr>
              <w:t>采购</w:t>
            </w:r>
          </w:p>
        </w:tc>
      </w:tr>
      <w:tr w14:paraId="4DEFE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84" w:type="dxa"/>
            <w:vMerge w:val="continue"/>
            <w:tcBorders>
              <w:top w:val="nil"/>
            </w:tcBorders>
            <w:vAlign w:val="top"/>
          </w:tcPr>
          <w:p w14:paraId="7BDF436A">
            <w:pPr>
              <w:rPr>
                <w:rFonts w:ascii="Arial"/>
                <w:sz w:val="21"/>
              </w:rPr>
            </w:pPr>
          </w:p>
        </w:tc>
        <w:tc>
          <w:tcPr>
            <w:tcW w:w="1268" w:type="dxa"/>
            <w:vMerge w:val="continue"/>
            <w:tcBorders>
              <w:top w:val="nil"/>
            </w:tcBorders>
            <w:vAlign w:val="top"/>
          </w:tcPr>
          <w:p w14:paraId="6F1A8E50">
            <w:pPr>
              <w:rPr>
                <w:rFonts w:ascii="Arial"/>
                <w:sz w:val="21"/>
              </w:rPr>
            </w:pPr>
          </w:p>
        </w:tc>
        <w:tc>
          <w:tcPr>
            <w:tcW w:w="2387" w:type="dxa"/>
            <w:vAlign w:val="top"/>
          </w:tcPr>
          <w:p w14:paraId="7BE3527B">
            <w:pPr>
              <w:pStyle w:val="6"/>
              <w:spacing w:before="85" w:line="219" w:lineRule="auto"/>
              <w:ind w:left="973"/>
            </w:pPr>
            <w:r>
              <w:rPr>
                <w:color w:val="303040"/>
                <w:spacing w:val="-3"/>
              </w:rPr>
              <w:t>石灰</w:t>
            </w:r>
          </w:p>
        </w:tc>
        <w:tc>
          <w:tcPr>
            <w:tcW w:w="809" w:type="dxa"/>
            <w:vAlign w:val="top"/>
          </w:tcPr>
          <w:p w14:paraId="5934FF3B">
            <w:pPr>
              <w:pStyle w:val="6"/>
              <w:spacing w:before="84" w:line="219" w:lineRule="auto"/>
              <w:ind w:left="186"/>
            </w:pPr>
            <w:r>
              <w:rPr>
                <w:spacing w:val="-3"/>
              </w:rPr>
              <w:t>若干</w:t>
            </w:r>
          </w:p>
        </w:tc>
        <w:tc>
          <w:tcPr>
            <w:tcW w:w="1987" w:type="dxa"/>
            <w:vMerge w:val="continue"/>
            <w:tcBorders>
              <w:top w:val="nil"/>
              <w:bottom w:val="nil"/>
            </w:tcBorders>
            <w:vAlign w:val="top"/>
          </w:tcPr>
          <w:p w14:paraId="53777E0C">
            <w:pPr>
              <w:rPr>
                <w:rFonts w:ascii="Arial"/>
                <w:sz w:val="21"/>
              </w:rPr>
            </w:pPr>
          </w:p>
        </w:tc>
        <w:tc>
          <w:tcPr>
            <w:tcW w:w="1064" w:type="dxa"/>
            <w:vMerge w:val="continue"/>
            <w:tcBorders>
              <w:top w:val="nil"/>
            </w:tcBorders>
            <w:vAlign w:val="top"/>
          </w:tcPr>
          <w:p w14:paraId="6D2D1610">
            <w:pPr>
              <w:rPr>
                <w:rFonts w:ascii="Arial"/>
                <w:sz w:val="21"/>
              </w:rPr>
            </w:pPr>
          </w:p>
        </w:tc>
      </w:tr>
      <w:tr w14:paraId="45648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84" w:type="dxa"/>
            <w:vMerge w:val="restart"/>
            <w:tcBorders>
              <w:bottom w:val="nil"/>
            </w:tcBorders>
            <w:vAlign w:val="top"/>
          </w:tcPr>
          <w:p w14:paraId="3C368CB7">
            <w:pPr>
              <w:spacing w:line="242" w:lineRule="auto"/>
              <w:rPr>
                <w:rFonts w:ascii="Arial"/>
                <w:sz w:val="21"/>
              </w:rPr>
            </w:pPr>
          </w:p>
          <w:p w14:paraId="55B82F84">
            <w:pPr>
              <w:spacing w:line="242" w:lineRule="auto"/>
              <w:rPr>
                <w:rFonts w:ascii="Arial"/>
                <w:sz w:val="21"/>
              </w:rPr>
            </w:pPr>
          </w:p>
          <w:p w14:paraId="115E4BB2">
            <w:pPr>
              <w:spacing w:line="242" w:lineRule="auto"/>
              <w:rPr>
                <w:rFonts w:ascii="Arial"/>
                <w:sz w:val="21"/>
              </w:rPr>
            </w:pPr>
          </w:p>
          <w:p w14:paraId="402383CA">
            <w:pPr>
              <w:spacing w:line="242" w:lineRule="auto"/>
              <w:rPr>
                <w:rFonts w:ascii="Arial"/>
                <w:sz w:val="21"/>
              </w:rPr>
            </w:pPr>
          </w:p>
          <w:p w14:paraId="209DF4C5">
            <w:pPr>
              <w:spacing w:line="243" w:lineRule="auto"/>
              <w:rPr>
                <w:rFonts w:ascii="Arial"/>
                <w:sz w:val="21"/>
              </w:rPr>
            </w:pPr>
          </w:p>
          <w:p w14:paraId="2DE13266">
            <w:pPr>
              <w:spacing w:line="243" w:lineRule="auto"/>
              <w:rPr>
                <w:rFonts w:ascii="Arial"/>
                <w:sz w:val="21"/>
              </w:rPr>
            </w:pPr>
          </w:p>
          <w:p w14:paraId="49900833">
            <w:pPr>
              <w:spacing w:line="243" w:lineRule="auto"/>
              <w:rPr>
                <w:rFonts w:ascii="Arial"/>
                <w:sz w:val="21"/>
              </w:rPr>
            </w:pPr>
          </w:p>
          <w:p w14:paraId="42D2D54D">
            <w:pPr>
              <w:pStyle w:val="6"/>
              <w:spacing w:before="68" w:line="220" w:lineRule="auto"/>
              <w:ind w:left="115"/>
            </w:pPr>
            <w:r>
              <w:rPr>
                <w:spacing w:val="-2"/>
              </w:rPr>
              <w:t>装置设备</w:t>
            </w:r>
          </w:p>
        </w:tc>
        <w:tc>
          <w:tcPr>
            <w:tcW w:w="1268" w:type="dxa"/>
            <w:vAlign w:val="top"/>
          </w:tcPr>
          <w:p w14:paraId="768653BB">
            <w:pPr>
              <w:pStyle w:val="6"/>
              <w:spacing w:before="118" w:line="221" w:lineRule="auto"/>
              <w:ind w:left="200"/>
            </w:pPr>
            <w:r>
              <w:rPr>
                <w:spacing w:val="-2"/>
              </w:rPr>
              <w:t>应急通讯</w:t>
            </w:r>
          </w:p>
          <w:p w14:paraId="1EFF03AA">
            <w:pPr>
              <w:pStyle w:val="6"/>
              <w:spacing w:before="77" w:line="221" w:lineRule="auto"/>
              <w:ind w:left="411"/>
            </w:pPr>
            <w:r>
              <w:rPr>
                <w:color w:val="103030"/>
                <w:spacing w:val="4"/>
              </w:rPr>
              <w:t>设备</w:t>
            </w:r>
          </w:p>
        </w:tc>
        <w:tc>
          <w:tcPr>
            <w:tcW w:w="2387" w:type="dxa"/>
            <w:vAlign w:val="top"/>
          </w:tcPr>
          <w:p w14:paraId="0D77D9E2">
            <w:pPr>
              <w:pStyle w:val="6"/>
              <w:spacing w:before="264" w:line="219" w:lineRule="auto"/>
              <w:ind w:left="243"/>
            </w:pPr>
            <w:r>
              <w:rPr>
                <w:spacing w:val="1"/>
              </w:rPr>
              <w:t>电话、喇叭及讲机等</w:t>
            </w:r>
          </w:p>
        </w:tc>
        <w:tc>
          <w:tcPr>
            <w:tcW w:w="809" w:type="dxa"/>
            <w:vAlign w:val="top"/>
          </w:tcPr>
          <w:p w14:paraId="5F1AF547">
            <w:pPr>
              <w:pStyle w:val="6"/>
              <w:spacing w:before="264" w:line="219" w:lineRule="auto"/>
              <w:ind w:left="186"/>
            </w:pPr>
            <w:r>
              <w:rPr>
                <w:spacing w:val="-3"/>
              </w:rPr>
              <w:t>若干</w:t>
            </w:r>
          </w:p>
        </w:tc>
        <w:tc>
          <w:tcPr>
            <w:tcW w:w="1987" w:type="dxa"/>
            <w:vMerge w:val="continue"/>
            <w:tcBorders>
              <w:top w:val="nil"/>
              <w:bottom w:val="nil"/>
            </w:tcBorders>
            <w:vAlign w:val="top"/>
          </w:tcPr>
          <w:p w14:paraId="37A7EC95">
            <w:pPr>
              <w:rPr>
                <w:rFonts w:ascii="Arial"/>
                <w:sz w:val="21"/>
              </w:rPr>
            </w:pPr>
          </w:p>
        </w:tc>
        <w:tc>
          <w:tcPr>
            <w:tcW w:w="1064" w:type="dxa"/>
            <w:vAlign w:val="top"/>
          </w:tcPr>
          <w:p w14:paraId="0DF6B8F8">
            <w:pPr>
              <w:pStyle w:val="6"/>
              <w:spacing w:before="264" w:line="219" w:lineRule="auto"/>
              <w:ind w:left="320"/>
            </w:pPr>
            <w:r>
              <w:rPr>
                <w:spacing w:val="-2"/>
              </w:rPr>
              <w:t>采购</w:t>
            </w:r>
          </w:p>
        </w:tc>
      </w:tr>
      <w:tr w14:paraId="71648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084" w:type="dxa"/>
            <w:vMerge w:val="continue"/>
            <w:tcBorders>
              <w:top w:val="nil"/>
              <w:bottom w:val="nil"/>
            </w:tcBorders>
            <w:vAlign w:val="top"/>
          </w:tcPr>
          <w:p w14:paraId="3995CA5E">
            <w:pPr>
              <w:rPr>
                <w:rFonts w:ascii="Arial"/>
                <w:sz w:val="21"/>
              </w:rPr>
            </w:pPr>
          </w:p>
        </w:tc>
        <w:tc>
          <w:tcPr>
            <w:tcW w:w="1268" w:type="dxa"/>
            <w:vAlign w:val="top"/>
          </w:tcPr>
          <w:p w14:paraId="2FC225A2">
            <w:pPr>
              <w:spacing w:line="247" w:lineRule="auto"/>
              <w:rPr>
                <w:rFonts w:ascii="Arial"/>
                <w:sz w:val="21"/>
              </w:rPr>
            </w:pPr>
          </w:p>
          <w:p w14:paraId="2897CEBB">
            <w:pPr>
              <w:pStyle w:val="6"/>
              <w:spacing w:before="68" w:line="219" w:lineRule="auto"/>
              <w:ind w:left="200"/>
            </w:pPr>
            <w:r>
              <w:rPr>
                <w:spacing w:val="-2"/>
              </w:rPr>
              <w:t>抽水设备</w:t>
            </w:r>
          </w:p>
        </w:tc>
        <w:tc>
          <w:tcPr>
            <w:tcW w:w="2387" w:type="dxa"/>
            <w:vAlign w:val="top"/>
          </w:tcPr>
          <w:p w14:paraId="5C1A903A">
            <w:pPr>
              <w:pStyle w:val="6"/>
              <w:spacing w:before="265" w:line="219" w:lineRule="auto"/>
              <w:ind w:left="243"/>
            </w:pPr>
            <w:r>
              <w:rPr>
                <w:spacing w:val="-1"/>
              </w:rPr>
              <w:t>汽油机应急抽水机组</w:t>
            </w:r>
          </w:p>
        </w:tc>
        <w:tc>
          <w:tcPr>
            <w:tcW w:w="809" w:type="dxa"/>
            <w:vAlign w:val="top"/>
          </w:tcPr>
          <w:p w14:paraId="71EA026F">
            <w:pPr>
              <w:pStyle w:val="6"/>
              <w:spacing w:before="278" w:line="230" w:lineRule="auto"/>
              <w:ind w:left="236"/>
            </w:pPr>
            <w:r>
              <w:rPr>
                <w:spacing w:val="6"/>
              </w:rPr>
              <w:t>2组</w:t>
            </w:r>
          </w:p>
        </w:tc>
        <w:tc>
          <w:tcPr>
            <w:tcW w:w="1987" w:type="dxa"/>
            <w:vMerge w:val="continue"/>
            <w:tcBorders>
              <w:top w:val="nil"/>
              <w:bottom w:val="nil"/>
            </w:tcBorders>
            <w:vAlign w:val="top"/>
          </w:tcPr>
          <w:p w14:paraId="510F0E7F">
            <w:pPr>
              <w:rPr>
                <w:rFonts w:ascii="Arial"/>
                <w:sz w:val="21"/>
              </w:rPr>
            </w:pPr>
          </w:p>
        </w:tc>
        <w:tc>
          <w:tcPr>
            <w:tcW w:w="1064" w:type="dxa"/>
            <w:vAlign w:val="top"/>
          </w:tcPr>
          <w:p w14:paraId="766FD2A8">
            <w:pPr>
              <w:pStyle w:val="6"/>
              <w:spacing w:before="136" w:line="256" w:lineRule="auto"/>
              <w:ind w:left="319" w:right="91" w:hanging="209"/>
            </w:pPr>
            <w:r>
              <w:rPr>
                <w:spacing w:val="3"/>
              </w:rPr>
              <w:t>由应急办</w:t>
            </w:r>
            <w:r>
              <w:t xml:space="preserve"> </w:t>
            </w:r>
            <w:r>
              <w:rPr>
                <w:spacing w:val="-5"/>
              </w:rPr>
              <w:t>调</w:t>
            </w:r>
            <w:r>
              <w:rPr>
                <w:color w:val="204030"/>
                <w:spacing w:val="-5"/>
              </w:rPr>
              <w:t>用</w:t>
            </w:r>
          </w:p>
        </w:tc>
      </w:tr>
      <w:tr w14:paraId="6D6D2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84" w:type="dxa"/>
            <w:vMerge w:val="continue"/>
            <w:tcBorders>
              <w:top w:val="nil"/>
              <w:bottom w:val="nil"/>
            </w:tcBorders>
            <w:vAlign w:val="top"/>
          </w:tcPr>
          <w:p w14:paraId="04607AA9">
            <w:pPr>
              <w:rPr>
                <w:rFonts w:ascii="Arial"/>
                <w:sz w:val="21"/>
              </w:rPr>
            </w:pPr>
          </w:p>
        </w:tc>
        <w:tc>
          <w:tcPr>
            <w:tcW w:w="1268" w:type="dxa"/>
            <w:vAlign w:val="top"/>
          </w:tcPr>
          <w:p w14:paraId="541F806E">
            <w:pPr>
              <w:pStyle w:val="6"/>
              <w:spacing w:before="278" w:line="221" w:lineRule="auto"/>
              <w:ind w:left="200"/>
            </w:pPr>
            <w:r>
              <w:rPr>
                <w:spacing w:val="-2"/>
              </w:rPr>
              <w:t>应急交通</w:t>
            </w:r>
          </w:p>
        </w:tc>
        <w:tc>
          <w:tcPr>
            <w:tcW w:w="2387" w:type="dxa"/>
            <w:vAlign w:val="top"/>
          </w:tcPr>
          <w:p w14:paraId="49B9A335">
            <w:pPr>
              <w:pStyle w:val="6"/>
              <w:spacing w:before="277" w:line="219" w:lineRule="auto"/>
              <w:ind w:left="872"/>
            </w:pPr>
            <w:r>
              <w:rPr>
                <w:spacing w:val="-2"/>
              </w:rPr>
              <w:t>应急车</w:t>
            </w:r>
          </w:p>
        </w:tc>
        <w:tc>
          <w:tcPr>
            <w:tcW w:w="809" w:type="dxa"/>
            <w:vAlign w:val="top"/>
          </w:tcPr>
          <w:p w14:paraId="5CC5402C">
            <w:pPr>
              <w:pStyle w:val="6"/>
              <w:spacing w:before="277" w:line="219" w:lineRule="auto"/>
              <w:ind w:left="236"/>
            </w:pPr>
            <w:r>
              <w:rPr>
                <w:spacing w:val="6"/>
              </w:rPr>
              <w:t>2辆</w:t>
            </w:r>
          </w:p>
        </w:tc>
        <w:tc>
          <w:tcPr>
            <w:tcW w:w="1987" w:type="dxa"/>
            <w:vMerge w:val="continue"/>
            <w:tcBorders>
              <w:top w:val="nil"/>
              <w:bottom w:val="nil"/>
            </w:tcBorders>
            <w:vAlign w:val="top"/>
          </w:tcPr>
          <w:p w14:paraId="7E208CB6">
            <w:pPr>
              <w:rPr>
                <w:rFonts w:ascii="Arial"/>
                <w:sz w:val="21"/>
              </w:rPr>
            </w:pPr>
          </w:p>
        </w:tc>
        <w:tc>
          <w:tcPr>
            <w:tcW w:w="1064" w:type="dxa"/>
            <w:vMerge w:val="restart"/>
            <w:tcBorders>
              <w:bottom w:val="nil"/>
            </w:tcBorders>
            <w:vAlign w:val="top"/>
          </w:tcPr>
          <w:p w14:paraId="0A6EA663">
            <w:pPr>
              <w:spacing w:line="426" w:lineRule="auto"/>
              <w:rPr>
                <w:rFonts w:ascii="Arial"/>
                <w:sz w:val="21"/>
              </w:rPr>
            </w:pPr>
          </w:p>
          <w:p w14:paraId="0659BFD5">
            <w:pPr>
              <w:pStyle w:val="6"/>
              <w:spacing w:before="69" w:line="219" w:lineRule="auto"/>
              <w:ind w:left="110"/>
            </w:pPr>
            <w:r>
              <w:rPr>
                <w:spacing w:val="3"/>
              </w:rPr>
              <w:t>由应急办</w:t>
            </w:r>
          </w:p>
          <w:p w14:paraId="46FF92A6">
            <w:pPr>
              <w:pStyle w:val="6"/>
              <w:spacing w:before="131" w:line="221" w:lineRule="auto"/>
              <w:ind w:left="320"/>
            </w:pPr>
            <w:r>
              <w:rPr>
                <w:spacing w:val="12"/>
              </w:rPr>
              <w:t>调用</w:t>
            </w:r>
          </w:p>
        </w:tc>
      </w:tr>
      <w:tr w14:paraId="67CDF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84" w:type="dxa"/>
            <w:vMerge w:val="continue"/>
            <w:tcBorders>
              <w:top w:val="nil"/>
              <w:bottom w:val="nil"/>
            </w:tcBorders>
            <w:vAlign w:val="top"/>
          </w:tcPr>
          <w:p w14:paraId="0B45CB9D">
            <w:pPr>
              <w:rPr>
                <w:rFonts w:ascii="Arial"/>
                <w:sz w:val="21"/>
              </w:rPr>
            </w:pPr>
          </w:p>
        </w:tc>
        <w:tc>
          <w:tcPr>
            <w:tcW w:w="1268" w:type="dxa"/>
            <w:vMerge w:val="restart"/>
            <w:tcBorders>
              <w:bottom w:val="nil"/>
            </w:tcBorders>
            <w:vAlign w:val="top"/>
          </w:tcPr>
          <w:p w14:paraId="056AE1C3">
            <w:pPr>
              <w:pStyle w:val="6"/>
              <w:spacing w:before="278" w:line="219" w:lineRule="auto"/>
              <w:ind w:left="311"/>
            </w:pPr>
            <w:r>
              <w:rPr>
                <w:spacing w:val="-2"/>
              </w:rPr>
              <w:t>特种车</w:t>
            </w:r>
          </w:p>
        </w:tc>
        <w:tc>
          <w:tcPr>
            <w:tcW w:w="2387" w:type="dxa"/>
            <w:vAlign w:val="top"/>
          </w:tcPr>
          <w:p w14:paraId="5FA53350">
            <w:pPr>
              <w:pStyle w:val="6"/>
              <w:spacing w:before="88" w:line="219" w:lineRule="auto"/>
              <w:ind w:left="872"/>
            </w:pPr>
            <w:r>
              <w:rPr>
                <w:spacing w:val="-3"/>
              </w:rPr>
              <w:t>水罐车</w:t>
            </w:r>
          </w:p>
        </w:tc>
        <w:tc>
          <w:tcPr>
            <w:tcW w:w="809" w:type="dxa"/>
            <w:vAlign w:val="top"/>
          </w:tcPr>
          <w:p w14:paraId="1DBA85B6">
            <w:pPr>
              <w:pStyle w:val="6"/>
              <w:spacing w:before="88" w:line="219" w:lineRule="auto"/>
              <w:ind w:left="236"/>
            </w:pPr>
            <w:r>
              <w:rPr>
                <w:spacing w:val="6"/>
              </w:rPr>
              <w:t>3辆</w:t>
            </w:r>
          </w:p>
        </w:tc>
        <w:tc>
          <w:tcPr>
            <w:tcW w:w="1987" w:type="dxa"/>
            <w:vMerge w:val="continue"/>
            <w:tcBorders>
              <w:top w:val="nil"/>
              <w:bottom w:val="nil"/>
            </w:tcBorders>
            <w:vAlign w:val="top"/>
          </w:tcPr>
          <w:p w14:paraId="6145873E">
            <w:pPr>
              <w:rPr>
                <w:rFonts w:ascii="Arial"/>
                <w:sz w:val="21"/>
              </w:rPr>
            </w:pPr>
          </w:p>
        </w:tc>
        <w:tc>
          <w:tcPr>
            <w:tcW w:w="1064" w:type="dxa"/>
            <w:vMerge w:val="continue"/>
            <w:tcBorders>
              <w:top w:val="nil"/>
              <w:bottom w:val="nil"/>
            </w:tcBorders>
            <w:vAlign w:val="top"/>
          </w:tcPr>
          <w:p w14:paraId="37B12A78">
            <w:pPr>
              <w:rPr>
                <w:rFonts w:ascii="Arial"/>
                <w:sz w:val="21"/>
              </w:rPr>
            </w:pPr>
          </w:p>
        </w:tc>
      </w:tr>
      <w:tr w14:paraId="27F40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84" w:type="dxa"/>
            <w:vMerge w:val="continue"/>
            <w:tcBorders>
              <w:top w:val="nil"/>
            </w:tcBorders>
            <w:vAlign w:val="top"/>
          </w:tcPr>
          <w:p w14:paraId="7972E581">
            <w:pPr>
              <w:rPr>
                <w:rFonts w:ascii="Arial"/>
                <w:sz w:val="21"/>
              </w:rPr>
            </w:pPr>
          </w:p>
        </w:tc>
        <w:tc>
          <w:tcPr>
            <w:tcW w:w="1268" w:type="dxa"/>
            <w:vMerge w:val="continue"/>
            <w:tcBorders>
              <w:top w:val="nil"/>
            </w:tcBorders>
            <w:vAlign w:val="top"/>
          </w:tcPr>
          <w:p w14:paraId="6AD3C9F8">
            <w:pPr>
              <w:rPr>
                <w:rFonts w:ascii="Arial"/>
                <w:sz w:val="21"/>
              </w:rPr>
            </w:pPr>
          </w:p>
        </w:tc>
        <w:tc>
          <w:tcPr>
            <w:tcW w:w="2387" w:type="dxa"/>
            <w:vAlign w:val="top"/>
          </w:tcPr>
          <w:p w14:paraId="486E0A85">
            <w:pPr>
              <w:pStyle w:val="6"/>
              <w:spacing w:before="87" w:line="219" w:lineRule="auto"/>
              <w:ind w:left="872"/>
            </w:pPr>
            <w:r>
              <w:rPr>
                <w:spacing w:val="-2"/>
              </w:rPr>
              <w:t>挖掘机</w:t>
            </w:r>
          </w:p>
        </w:tc>
        <w:tc>
          <w:tcPr>
            <w:tcW w:w="809" w:type="dxa"/>
            <w:vAlign w:val="top"/>
          </w:tcPr>
          <w:p w14:paraId="455F4CDD">
            <w:pPr>
              <w:pStyle w:val="6"/>
              <w:spacing w:before="88" w:line="219" w:lineRule="auto"/>
              <w:ind w:left="236"/>
            </w:pPr>
            <w:r>
              <w:rPr>
                <w:spacing w:val="6"/>
              </w:rPr>
              <w:t>2辆</w:t>
            </w:r>
          </w:p>
        </w:tc>
        <w:tc>
          <w:tcPr>
            <w:tcW w:w="1987" w:type="dxa"/>
            <w:vMerge w:val="continue"/>
            <w:tcBorders>
              <w:top w:val="nil"/>
            </w:tcBorders>
            <w:vAlign w:val="top"/>
          </w:tcPr>
          <w:p w14:paraId="5038312C">
            <w:pPr>
              <w:rPr>
                <w:rFonts w:ascii="Arial"/>
                <w:sz w:val="21"/>
              </w:rPr>
            </w:pPr>
          </w:p>
        </w:tc>
        <w:tc>
          <w:tcPr>
            <w:tcW w:w="1064" w:type="dxa"/>
            <w:vMerge w:val="continue"/>
            <w:tcBorders>
              <w:top w:val="nil"/>
            </w:tcBorders>
            <w:vAlign w:val="top"/>
          </w:tcPr>
          <w:p w14:paraId="38820ECC">
            <w:pPr>
              <w:rPr>
                <w:rFonts w:ascii="Arial"/>
                <w:sz w:val="21"/>
              </w:rPr>
            </w:pPr>
          </w:p>
        </w:tc>
      </w:tr>
    </w:tbl>
    <w:p w14:paraId="5DF473C7">
      <w:pPr>
        <w:spacing w:before="140" w:line="219" w:lineRule="auto"/>
        <w:ind w:left="129"/>
        <w:outlineLvl w:val="1"/>
        <w:rPr>
          <w:rFonts w:ascii="宋体" w:hAnsi="宋体" w:eastAsia="宋体" w:cs="宋体"/>
          <w:sz w:val="28"/>
          <w:szCs w:val="28"/>
        </w:rPr>
      </w:pPr>
      <w:bookmarkStart w:id="61" w:name="bookmark43"/>
      <w:bookmarkEnd w:id="61"/>
      <w:r>
        <w:rPr>
          <w:rFonts w:ascii="宋体" w:hAnsi="宋体" w:eastAsia="宋体" w:cs="宋体"/>
          <w:b/>
          <w:bCs/>
          <w:color w:val="606070"/>
          <w:spacing w:val="-2"/>
          <w:sz w:val="28"/>
          <w:szCs w:val="28"/>
        </w:rPr>
        <w:t>4.8舆情信息收集与信息发布</w:t>
      </w:r>
    </w:p>
    <w:p w14:paraId="2D947BB6">
      <w:pPr>
        <w:spacing w:before="259" w:line="356" w:lineRule="auto"/>
        <w:ind w:left="125" w:right="120" w:firstLine="499"/>
        <w:jc w:val="both"/>
        <w:rPr>
          <w:rFonts w:ascii="宋体" w:hAnsi="宋体" w:eastAsia="宋体" w:cs="宋体"/>
          <w:sz w:val="24"/>
          <w:szCs w:val="24"/>
        </w:rPr>
      </w:pPr>
      <w:r>
        <w:rPr>
          <w:rFonts w:ascii="宋体" w:hAnsi="宋体" w:eastAsia="宋体" w:cs="宋体"/>
          <w:color w:val="405050"/>
          <w:spacing w:val="-2"/>
          <w:sz w:val="24"/>
          <w:szCs w:val="24"/>
        </w:rPr>
        <w:t>现场应急指挥部在突发环境事件发生后，应第一时间向社会发布信息，并针</w:t>
      </w:r>
      <w:r>
        <w:rPr>
          <w:rFonts w:ascii="宋体" w:hAnsi="宋体" w:eastAsia="宋体" w:cs="宋体"/>
          <w:color w:val="405050"/>
          <w:spacing w:val="5"/>
          <w:sz w:val="24"/>
          <w:szCs w:val="24"/>
        </w:rPr>
        <w:t xml:space="preserve"> </w:t>
      </w:r>
      <w:r>
        <w:rPr>
          <w:rFonts w:ascii="宋体" w:hAnsi="宋体" w:eastAsia="宋体" w:cs="宋体"/>
          <w:color w:val="405050"/>
          <w:spacing w:val="-1"/>
          <w:sz w:val="24"/>
          <w:szCs w:val="24"/>
        </w:rPr>
        <w:t>对舆情及时发布事件原因、影响区域、</w:t>
      </w:r>
      <w:r>
        <w:rPr>
          <w:rFonts w:ascii="宋体" w:hAnsi="宋体" w:eastAsia="宋体" w:cs="宋体"/>
          <w:color w:val="606070"/>
          <w:spacing w:val="-1"/>
          <w:sz w:val="24"/>
          <w:szCs w:val="24"/>
        </w:rPr>
        <w:t>已采取的措施及成效、公众应注意的</w:t>
      </w:r>
      <w:r>
        <w:rPr>
          <w:rFonts w:ascii="宋体" w:hAnsi="宋体" w:eastAsia="宋体" w:cs="宋体"/>
          <w:color w:val="606070"/>
          <w:spacing w:val="-2"/>
          <w:sz w:val="24"/>
          <w:szCs w:val="24"/>
        </w:rPr>
        <w:t>防范</w:t>
      </w:r>
      <w:r>
        <w:rPr>
          <w:rFonts w:ascii="宋体" w:hAnsi="宋体" w:eastAsia="宋体" w:cs="宋体"/>
          <w:color w:val="606070"/>
          <w:sz w:val="24"/>
          <w:szCs w:val="24"/>
        </w:rPr>
        <w:t xml:space="preserve"> </w:t>
      </w:r>
      <w:r>
        <w:rPr>
          <w:rFonts w:ascii="宋体" w:hAnsi="宋体" w:eastAsia="宋体" w:cs="宋体"/>
          <w:color w:val="405050"/>
          <w:spacing w:val="-1"/>
          <w:sz w:val="24"/>
          <w:szCs w:val="24"/>
        </w:rPr>
        <w:t>措施、热线电话等。</w:t>
      </w:r>
    </w:p>
    <w:p w14:paraId="6C2CFA6A">
      <w:pPr>
        <w:spacing w:before="56" w:line="221" w:lineRule="auto"/>
        <w:ind w:left="125"/>
        <w:outlineLvl w:val="1"/>
        <w:rPr>
          <w:rFonts w:ascii="宋体" w:hAnsi="宋体" w:eastAsia="宋体" w:cs="宋体"/>
          <w:sz w:val="29"/>
          <w:szCs w:val="29"/>
        </w:rPr>
      </w:pPr>
      <w:bookmarkStart w:id="62" w:name="bookmark44"/>
      <w:bookmarkEnd w:id="62"/>
      <w:r>
        <w:rPr>
          <w:rFonts w:ascii="宋体" w:hAnsi="宋体" w:eastAsia="宋体" w:cs="宋体"/>
          <w:color w:val="405050"/>
          <w:spacing w:val="-8"/>
          <w:sz w:val="29"/>
          <w:szCs w:val="29"/>
        </w:rPr>
        <w:t>4.</w:t>
      </w:r>
      <w:r>
        <w:rPr>
          <w:rFonts w:ascii="宋体" w:hAnsi="宋体" w:eastAsia="宋体" w:cs="宋体"/>
          <w:b/>
          <w:bCs/>
          <w:color w:val="405050"/>
          <w:spacing w:val="-8"/>
          <w:sz w:val="29"/>
          <w:szCs w:val="29"/>
        </w:rPr>
        <w:t>9响应终止</w:t>
      </w:r>
    </w:p>
    <w:p w14:paraId="44D282F6">
      <w:pPr>
        <w:spacing w:before="288" w:line="219" w:lineRule="auto"/>
        <w:ind w:left="125"/>
        <w:outlineLvl w:val="2"/>
        <w:rPr>
          <w:rFonts w:ascii="宋体" w:hAnsi="宋体" w:eastAsia="宋体" w:cs="宋体"/>
          <w:sz w:val="28"/>
          <w:szCs w:val="28"/>
        </w:rPr>
      </w:pPr>
      <w:bookmarkStart w:id="63" w:name="bookmark45"/>
      <w:bookmarkEnd w:id="63"/>
      <w:r>
        <w:rPr>
          <w:rFonts w:ascii="宋体" w:hAnsi="宋体" w:eastAsia="宋体" w:cs="宋体"/>
          <w:color w:val="405050"/>
          <w:sz w:val="28"/>
          <w:szCs w:val="28"/>
        </w:rPr>
        <w:t>4.9.1</w:t>
      </w:r>
      <w:r>
        <w:rPr>
          <w:rFonts w:ascii="宋体" w:hAnsi="宋体" w:eastAsia="宋体" w:cs="宋体"/>
          <w:b/>
          <w:bCs/>
          <w:color w:val="606070"/>
          <w:sz w:val="28"/>
          <w:szCs w:val="28"/>
        </w:rPr>
        <w:t>应急终止条件</w:t>
      </w:r>
    </w:p>
    <w:p w14:paraId="15D140ED">
      <w:pPr>
        <w:spacing w:before="160" w:line="219" w:lineRule="auto"/>
        <w:ind w:left="625"/>
        <w:rPr>
          <w:rFonts w:ascii="宋体" w:hAnsi="宋体" w:eastAsia="宋体" w:cs="宋体"/>
          <w:sz w:val="24"/>
          <w:szCs w:val="24"/>
        </w:rPr>
      </w:pPr>
      <w:r>
        <w:rPr>
          <w:rFonts w:ascii="宋体" w:hAnsi="宋体" w:eastAsia="宋体" w:cs="宋体"/>
          <w:color w:val="405050"/>
          <w:spacing w:val="-1"/>
          <w:sz w:val="24"/>
          <w:szCs w:val="24"/>
        </w:rPr>
        <w:t>符合下列条件之一的，即满足应急终止条件：</w:t>
      </w:r>
    </w:p>
    <w:p w14:paraId="4177CC5D">
      <w:pPr>
        <w:spacing w:before="275" w:line="282" w:lineRule="auto"/>
        <w:ind w:left="125" w:right="144" w:firstLine="499"/>
        <w:rPr>
          <w:rFonts w:ascii="宋体" w:hAnsi="宋体" w:eastAsia="宋体" w:cs="宋体"/>
          <w:sz w:val="24"/>
          <w:szCs w:val="24"/>
        </w:rPr>
      </w:pPr>
      <w:r>
        <w:rPr>
          <w:rFonts w:ascii="宋体" w:hAnsi="宋体" w:eastAsia="宋体" w:cs="宋体"/>
          <w:color w:val="606070"/>
          <w:spacing w:val="1"/>
          <w:sz w:val="24"/>
          <w:szCs w:val="24"/>
        </w:rPr>
        <w:t>(1)本次集中式饮用水源地突发性污染</w:t>
      </w:r>
      <w:r>
        <w:rPr>
          <w:rFonts w:ascii="宋体" w:hAnsi="宋体" w:eastAsia="宋体" w:cs="宋体"/>
          <w:color w:val="405050"/>
          <w:spacing w:val="1"/>
          <w:sz w:val="24"/>
          <w:szCs w:val="24"/>
        </w:rPr>
        <w:t>事件产生的条件己经消除，污染情况</w:t>
      </w:r>
      <w:r>
        <w:rPr>
          <w:rFonts w:ascii="宋体" w:hAnsi="宋体" w:eastAsia="宋体" w:cs="宋体"/>
          <w:color w:val="405050"/>
          <w:spacing w:val="5"/>
          <w:sz w:val="24"/>
          <w:szCs w:val="24"/>
        </w:rPr>
        <w:t xml:space="preserve"> </w:t>
      </w:r>
      <w:r>
        <w:rPr>
          <w:rFonts w:ascii="宋体" w:hAnsi="宋体" w:eastAsia="宋体" w:cs="宋体"/>
          <w:color w:val="405050"/>
          <w:sz w:val="24"/>
          <w:szCs w:val="24"/>
        </w:rPr>
        <w:t>得到完全控制，发生水污染事件的水系水质基本得到恢复。</w:t>
      </w:r>
    </w:p>
    <w:p w14:paraId="2D6DDE21">
      <w:pPr>
        <w:spacing w:before="205" w:line="219" w:lineRule="auto"/>
        <w:ind w:left="625"/>
        <w:rPr>
          <w:rFonts w:ascii="宋体" w:hAnsi="宋体" w:eastAsia="宋体" w:cs="宋体"/>
          <w:sz w:val="24"/>
          <w:szCs w:val="24"/>
        </w:rPr>
      </w:pPr>
      <w:r>
        <w:rPr>
          <w:rFonts w:ascii="宋体" w:hAnsi="宋体" w:eastAsia="宋体" w:cs="宋体"/>
          <w:color w:val="405050"/>
          <w:spacing w:val="1"/>
          <w:sz w:val="24"/>
          <w:szCs w:val="24"/>
        </w:rPr>
        <w:t>(2)采取了有效的应急措施和防护措施，保证公众免受再次危害，并使事件</w:t>
      </w:r>
    </w:p>
    <w:p w14:paraId="6D2F5309">
      <w:pPr>
        <w:spacing w:line="219" w:lineRule="auto"/>
        <w:rPr>
          <w:rFonts w:ascii="宋体" w:hAnsi="宋体" w:eastAsia="宋体" w:cs="宋体"/>
          <w:sz w:val="24"/>
          <w:szCs w:val="24"/>
        </w:rPr>
        <w:sectPr>
          <w:footerReference r:id="rId33" w:type="default"/>
          <w:pgSz w:w="11910" w:h="16850"/>
          <w:pgMar w:top="1375" w:right="1745" w:bottom="1475" w:left="1554" w:header="0" w:footer="1313" w:gutter="0"/>
          <w:cols w:space="720" w:num="1"/>
        </w:sectPr>
      </w:pPr>
    </w:p>
    <w:p w14:paraId="67C78BCF">
      <w:pPr>
        <w:spacing w:before="247" w:line="219" w:lineRule="auto"/>
        <w:rPr>
          <w:rFonts w:ascii="宋体" w:hAnsi="宋体" w:eastAsia="宋体" w:cs="宋体"/>
          <w:sz w:val="24"/>
          <w:szCs w:val="24"/>
        </w:rPr>
      </w:pPr>
      <w:r>
        <w:rPr>
          <w:rFonts w:ascii="宋体" w:hAnsi="宋体" w:eastAsia="宋体" w:cs="宋体"/>
          <w:color w:val="507060"/>
          <w:spacing w:val="-3"/>
          <w:sz w:val="24"/>
          <w:szCs w:val="24"/>
        </w:rPr>
        <w:t>可能引起的中长期影响趋于合理水平。</w:t>
      </w:r>
    </w:p>
    <w:p w14:paraId="0325CDFB">
      <w:pPr>
        <w:spacing w:before="194" w:line="290" w:lineRule="auto"/>
        <w:ind w:right="119" w:firstLine="489"/>
        <w:rPr>
          <w:rFonts w:ascii="宋体" w:hAnsi="宋体" w:eastAsia="宋体" w:cs="宋体"/>
          <w:sz w:val="24"/>
          <w:szCs w:val="24"/>
        </w:rPr>
      </w:pPr>
      <w:r>
        <w:rPr>
          <w:rFonts w:ascii="宋体" w:hAnsi="宋体" w:eastAsia="宋体" w:cs="宋体"/>
          <w:color w:val="506060"/>
          <w:sz w:val="24"/>
          <w:szCs w:val="24"/>
        </w:rPr>
        <w:t>(3)本次集中式饮用水源地突发性污染事件造成的对供水系统的影响已经消</w:t>
      </w:r>
      <w:r>
        <w:rPr>
          <w:rFonts w:ascii="宋体" w:hAnsi="宋体" w:eastAsia="宋体" w:cs="宋体"/>
          <w:color w:val="506060"/>
          <w:spacing w:val="12"/>
          <w:sz w:val="24"/>
          <w:szCs w:val="24"/>
        </w:rPr>
        <w:t xml:space="preserve"> </w:t>
      </w:r>
      <w:r>
        <w:rPr>
          <w:rFonts w:ascii="宋体" w:hAnsi="宋体" w:eastAsia="宋体" w:cs="宋体"/>
          <w:color w:val="506060"/>
          <w:spacing w:val="-2"/>
          <w:sz w:val="24"/>
          <w:szCs w:val="24"/>
        </w:rPr>
        <w:t>除，供水系统全面恢复正常。</w:t>
      </w:r>
    </w:p>
    <w:p w14:paraId="550D380D">
      <w:pPr>
        <w:spacing w:before="176" w:line="219" w:lineRule="auto"/>
        <w:jc w:val="right"/>
        <w:rPr>
          <w:rFonts w:ascii="宋体" w:hAnsi="宋体" w:eastAsia="宋体" w:cs="宋体"/>
          <w:sz w:val="24"/>
          <w:szCs w:val="24"/>
        </w:rPr>
      </w:pPr>
      <w:r>
        <w:rPr>
          <w:rFonts w:ascii="宋体" w:hAnsi="宋体" w:eastAsia="宋体" w:cs="宋体"/>
          <w:color w:val="506060"/>
          <w:spacing w:val="-3"/>
          <w:sz w:val="24"/>
          <w:szCs w:val="24"/>
        </w:rPr>
        <w:t>(4)水质监测结果尚未稳定达标，但根据应急专家组建议可恢复正常取水时。</w:t>
      </w:r>
    </w:p>
    <w:p w14:paraId="15B6C512">
      <w:pPr>
        <w:spacing w:before="214" w:line="220" w:lineRule="auto"/>
        <w:outlineLvl w:val="0"/>
        <w:rPr>
          <w:rFonts w:ascii="宋体" w:hAnsi="宋体" w:eastAsia="宋体" w:cs="宋体"/>
          <w:sz w:val="31"/>
          <w:szCs w:val="31"/>
        </w:rPr>
      </w:pPr>
      <w:bookmarkStart w:id="64" w:name="bookmark46"/>
      <w:bookmarkEnd w:id="64"/>
      <w:r>
        <w:rPr>
          <w:rFonts w:ascii="宋体" w:hAnsi="宋体" w:eastAsia="宋体" w:cs="宋体"/>
          <w:color w:val="506060"/>
          <w:spacing w:val="-8"/>
          <w:sz w:val="31"/>
          <w:szCs w:val="31"/>
        </w:rPr>
        <w:t xml:space="preserve">5. </w:t>
      </w:r>
      <w:r>
        <w:rPr>
          <w:rFonts w:ascii="宋体" w:hAnsi="宋体" w:eastAsia="宋体" w:cs="宋体"/>
          <w:b/>
          <w:bCs/>
          <w:color w:val="506060"/>
          <w:spacing w:val="-8"/>
          <w:sz w:val="31"/>
          <w:szCs w:val="31"/>
        </w:rPr>
        <w:t>后期工作</w:t>
      </w:r>
    </w:p>
    <w:p w14:paraId="27BB5630">
      <w:pPr>
        <w:spacing w:before="270" w:line="220" w:lineRule="auto"/>
        <w:outlineLvl w:val="1"/>
        <w:rPr>
          <w:rFonts w:ascii="宋体" w:hAnsi="宋体" w:eastAsia="宋体" w:cs="宋体"/>
          <w:sz w:val="28"/>
          <w:szCs w:val="28"/>
        </w:rPr>
      </w:pPr>
      <w:bookmarkStart w:id="65" w:name="bookmark47"/>
      <w:bookmarkEnd w:id="65"/>
      <w:r>
        <w:rPr>
          <w:rFonts w:ascii="宋体" w:hAnsi="宋体" w:eastAsia="宋体" w:cs="宋体"/>
          <w:color w:val="506060"/>
          <w:sz w:val="28"/>
          <w:szCs w:val="28"/>
        </w:rPr>
        <w:t>5.</w:t>
      </w:r>
      <w:r>
        <w:rPr>
          <w:rFonts w:ascii="宋体" w:hAnsi="宋体" w:eastAsia="宋体" w:cs="宋体"/>
          <w:b/>
          <w:bCs/>
          <w:color w:val="506060"/>
          <w:sz w:val="28"/>
          <w:szCs w:val="28"/>
        </w:rPr>
        <w:t>1后期防控</w:t>
      </w:r>
    </w:p>
    <w:p w14:paraId="41289D73">
      <w:pPr>
        <w:spacing w:before="238" w:line="356" w:lineRule="auto"/>
        <w:ind w:right="23" w:firstLine="489"/>
        <w:jc w:val="both"/>
        <w:rPr>
          <w:rFonts w:ascii="宋体" w:hAnsi="宋体" w:eastAsia="宋体" w:cs="宋体"/>
          <w:sz w:val="24"/>
          <w:szCs w:val="24"/>
        </w:rPr>
      </w:pPr>
      <w:r>
        <w:rPr>
          <w:rFonts w:ascii="宋体" w:hAnsi="宋体" w:eastAsia="宋体" w:cs="宋体"/>
          <w:color w:val="506060"/>
          <w:spacing w:val="-2"/>
          <w:sz w:val="24"/>
          <w:szCs w:val="24"/>
        </w:rPr>
        <w:t>突发环境事件应急响应终止后，由包头市生态环境局石拐区分局负责对突发</w:t>
      </w:r>
      <w:r>
        <w:rPr>
          <w:rFonts w:ascii="宋体" w:hAnsi="宋体" w:eastAsia="宋体" w:cs="宋体"/>
          <w:color w:val="506060"/>
          <w:spacing w:val="5"/>
          <w:sz w:val="24"/>
          <w:szCs w:val="24"/>
        </w:rPr>
        <w:t xml:space="preserve"> </w:t>
      </w:r>
      <w:r>
        <w:rPr>
          <w:rFonts w:ascii="宋体" w:hAnsi="宋体" w:eastAsia="宋体" w:cs="宋体"/>
          <w:color w:val="506060"/>
          <w:sz w:val="24"/>
          <w:szCs w:val="24"/>
        </w:rPr>
        <w:t xml:space="preserve">环境事件后期防控工作负责。应针对泄露出的危险物质进行回收，并妥善处理、 </w:t>
      </w:r>
      <w:r>
        <w:rPr>
          <w:rFonts w:ascii="宋体" w:hAnsi="宋体" w:eastAsia="宋体" w:cs="宋体"/>
          <w:color w:val="506060"/>
          <w:spacing w:val="-2"/>
          <w:sz w:val="24"/>
          <w:szCs w:val="24"/>
        </w:rPr>
        <w:t>处置，消除投放药剂的残留毒性和后期效应，防止次生突发</w:t>
      </w:r>
      <w:r>
        <w:rPr>
          <w:rFonts w:ascii="宋体" w:hAnsi="宋体" w:eastAsia="宋体" w:cs="宋体"/>
          <w:color w:val="506060"/>
          <w:spacing w:val="-3"/>
          <w:sz w:val="24"/>
          <w:szCs w:val="24"/>
        </w:rPr>
        <w:t>环境事件，并对可能</w:t>
      </w:r>
      <w:r>
        <w:rPr>
          <w:rFonts w:ascii="宋体" w:hAnsi="宋体" w:eastAsia="宋体" w:cs="宋体"/>
          <w:color w:val="506060"/>
          <w:sz w:val="24"/>
          <w:szCs w:val="24"/>
        </w:rPr>
        <w:t xml:space="preserve"> </w:t>
      </w:r>
      <w:r>
        <w:rPr>
          <w:rFonts w:ascii="宋体" w:hAnsi="宋体" w:eastAsia="宋体" w:cs="宋体"/>
          <w:color w:val="606070"/>
          <w:spacing w:val="-2"/>
          <w:sz w:val="24"/>
          <w:szCs w:val="24"/>
        </w:rPr>
        <w:t>污染的地下水源地的地表土壤及地下水质进行跟踪污染监测。</w:t>
      </w:r>
      <w:r>
        <w:rPr>
          <w:rFonts w:ascii="宋体" w:hAnsi="宋体" w:eastAsia="宋体" w:cs="宋体"/>
          <w:color w:val="506060"/>
          <w:spacing w:val="-2"/>
          <w:sz w:val="24"/>
          <w:szCs w:val="24"/>
        </w:rPr>
        <w:t>事故场地及蔓延区</w:t>
      </w:r>
      <w:r>
        <w:rPr>
          <w:rFonts w:ascii="宋体" w:hAnsi="宋体" w:eastAsia="宋体" w:cs="宋体"/>
          <w:color w:val="506060"/>
          <w:sz w:val="24"/>
          <w:szCs w:val="24"/>
        </w:rPr>
        <w:t xml:space="preserve"> </w:t>
      </w:r>
      <w:r>
        <w:rPr>
          <w:rFonts w:ascii="宋体" w:hAnsi="宋体" w:eastAsia="宋体" w:cs="宋体"/>
          <w:color w:val="506060"/>
          <w:spacing w:val="-2"/>
          <w:sz w:val="24"/>
          <w:szCs w:val="24"/>
        </w:rPr>
        <w:t>域的污染物清除完成后，对土壤进行修复，</w:t>
      </w:r>
      <w:r>
        <w:rPr>
          <w:rFonts w:ascii="宋体" w:hAnsi="宋体" w:eastAsia="宋体" w:cs="宋体"/>
          <w:color w:val="606070"/>
          <w:spacing w:val="-2"/>
          <w:sz w:val="24"/>
          <w:szCs w:val="24"/>
        </w:rPr>
        <w:t>如部分污染</w:t>
      </w:r>
      <w:r>
        <w:rPr>
          <w:rFonts w:ascii="宋体" w:hAnsi="宋体" w:eastAsia="宋体" w:cs="宋体"/>
          <w:color w:val="606070"/>
          <w:spacing w:val="-3"/>
          <w:sz w:val="24"/>
          <w:szCs w:val="24"/>
        </w:rPr>
        <w:t>物导流到水源地下游或其</w:t>
      </w:r>
      <w:r>
        <w:rPr>
          <w:rFonts w:ascii="宋体" w:hAnsi="宋体" w:eastAsia="宋体" w:cs="宋体"/>
          <w:color w:val="606070"/>
          <w:sz w:val="24"/>
          <w:szCs w:val="24"/>
        </w:rPr>
        <w:t xml:space="preserve"> </w:t>
      </w:r>
      <w:r>
        <w:rPr>
          <w:rFonts w:ascii="宋体" w:hAnsi="宋体" w:eastAsia="宋体" w:cs="宋体"/>
          <w:color w:val="506060"/>
          <w:spacing w:val="-3"/>
          <w:sz w:val="24"/>
          <w:szCs w:val="24"/>
        </w:rPr>
        <w:t>他区域，还应对这些区域的污染物进行清除。</w:t>
      </w:r>
    </w:p>
    <w:p w14:paraId="2A739B21">
      <w:pPr>
        <w:spacing w:before="121" w:line="219" w:lineRule="auto"/>
        <w:outlineLvl w:val="1"/>
        <w:rPr>
          <w:rFonts w:ascii="宋体" w:hAnsi="宋体" w:eastAsia="宋体" w:cs="宋体"/>
          <w:sz w:val="28"/>
          <w:szCs w:val="28"/>
        </w:rPr>
      </w:pPr>
      <w:bookmarkStart w:id="66" w:name="bookmark48"/>
      <w:bookmarkEnd w:id="66"/>
      <w:r>
        <w:rPr>
          <w:rFonts w:ascii="宋体" w:hAnsi="宋体" w:eastAsia="宋体" w:cs="宋体"/>
          <w:color w:val="506060"/>
          <w:sz w:val="28"/>
          <w:szCs w:val="28"/>
        </w:rPr>
        <w:t>5.</w:t>
      </w:r>
      <w:r>
        <w:rPr>
          <w:rFonts w:ascii="宋体" w:hAnsi="宋体" w:eastAsia="宋体" w:cs="宋体"/>
          <w:b/>
          <w:bCs/>
          <w:color w:val="506060"/>
          <w:sz w:val="28"/>
          <w:szCs w:val="28"/>
        </w:rPr>
        <w:t>2事件调查</w:t>
      </w:r>
    </w:p>
    <w:p w14:paraId="7DB95E87">
      <w:pPr>
        <w:spacing w:before="130" w:line="356" w:lineRule="auto"/>
        <w:ind w:right="101" w:firstLine="489"/>
        <w:jc w:val="both"/>
        <w:rPr>
          <w:rFonts w:ascii="宋体" w:hAnsi="宋体" w:eastAsia="宋体" w:cs="宋体"/>
          <w:sz w:val="24"/>
          <w:szCs w:val="24"/>
        </w:rPr>
      </w:pPr>
      <w:r>
        <w:rPr>
          <w:rFonts w:ascii="宋体" w:hAnsi="宋体" w:eastAsia="宋体" w:cs="宋体"/>
          <w:color w:val="506060"/>
          <w:spacing w:val="-3"/>
          <w:sz w:val="24"/>
          <w:szCs w:val="24"/>
        </w:rPr>
        <w:t>突发环境事件应急响应结束后，由包头市生态环境局石拐区分局牵头，各应</w:t>
      </w:r>
      <w:r>
        <w:rPr>
          <w:rFonts w:ascii="宋体" w:hAnsi="宋体" w:eastAsia="宋体" w:cs="宋体"/>
          <w:color w:val="506060"/>
          <w:spacing w:val="8"/>
          <w:sz w:val="24"/>
          <w:szCs w:val="24"/>
        </w:rPr>
        <w:t xml:space="preserve"> </w:t>
      </w:r>
      <w:r>
        <w:rPr>
          <w:rFonts w:ascii="宋体" w:hAnsi="宋体" w:eastAsia="宋体" w:cs="宋体"/>
          <w:color w:val="506060"/>
          <w:spacing w:val="-2"/>
          <w:sz w:val="24"/>
          <w:szCs w:val="24"/>
        </w:rPr>
        <w:t>急组织指挥机构及其工作组成员单位积极配合，组织开展突</w:t>
      </w:r>
      <w:r>
        <w:rPr>
          <w:rFonts w:ascii="宋体" w:hAnsi="宋体" w:eastAsia="宋体" w:cs="宋体"/>
          <w:color w:val="506060"/>
          <w:spacing w:val="-3"/>
          <w:sz w:val="24"/>
          <w:szCs w:val="24"/>
        </w:rPr>
        <w:t>发环境事件调查，查</w:t>
      </w:r>
      <w:r>
        <w:rPr>
          <w:rFonts w:ascii="宋体" w:hAnsi="宋体" w:eastAsia="宋体" w:cs="宋体"/>
          <w:color w:val="506060"/>
          <w:sz w:val="24"/>
          <w:szCs w:val="24"/>
        </w:rPr>
        <w:t xml:space="preserve"> </w:t>
      </w:r>
      <w:r>
        <w:rPr>
          <w:rFonts w:ascii="宋体" w:hAnsi="宋体" w:eastAsia="宋体" w:cs="宋体"/>
          <w:color w:val="506060"/>
          <w:spacing w:val="-2"/>
          <w:sz w:val="24"/>
          <w:szCs w:val="24"/>
        </w:rPr>
        <w:t>明事件发生的原因和性质，提出整改防范措施和处理建议</w:t>
      </w:r>
      <w:r>
        <w:rPr>
          <w:rFonts w:ascii="宋体" w:hAnsi="宋体" w:eastAsia="宋体" w:cs="宋体"/>
          <w:color w:val="506060"/>
          <w:spacing w:val="-3"/>
          <w:sz w:val="24"/>
          <w:szCs w:val="24"/>
        </w:rPr>
        <w:t>，并及时将调查结果报</w:t>
      </w:r>
      <w:r>
        <w:rPr>
          <w:rFonts w:ascii="宋体" w:hAnsi="宋体" w:eastAsia="宋体" w:cs="宋体"/>
          <w:color w:val="506060"/>
          <w:sz w:val="24"/>
          <w:szCs w:val="24"/>
        </w:rPr>
        <w:t xml:space="preserve"> </w:t>
      </w:r>
      <w:r>
        <w:rPr>
          <w:rFonts w:ascii="宋体" w:hAnsi="宋体" w:eastAsia="宋体" w:cs="宋体"/>
          <w:color w:val="506060"/>
          <w:spacing w:val="-2"/>
          <w:sz w:val="24"/>
          <w:szCs w:val="24"/>
        </w:rPr>
        <w:t>石拐区人民政府。当发生影响程度较大或影响范围较广的</w:t>
      </w:r>
      <w:r>
        <w:rPr>
          <w:rFonts w:ascii="宋体" w:hAnsi="宋体" w:eastAsia="宋体" w:cs="宋体"/>
          <w:color w:val="506060"/>
          <w:spacing w:val="-3"/>
          <w:sz w:val="24"/>
          <w:szCs w:val="24"/>
        </w:rPr>
        <w:t>突发环境事件，还应将</w:t>
      </w:r>
      <w:r>
        <w:rPr>
          <w:rFonts w:ascii="宋体" w:hAnsi="宋体" w:eastAsia="宋体" w:cs="宋体"/>
          <w:color w:val="506060"/>
          <w:sz w:val="24"/>
          <w:szCs w:val="24"/>
        </w:rPr>
        <w:t xml:space="preserve"> </w:t>
      </w:r>
      <w:r>
        <w:rPr>
          <w:rFonts w:ascii="宋体" w:hAnsi="宋体" w:eastAsia="宋体" w:cs="宋体"/>
          <w:color w:val="506060"/>
          <w:spacing w:val="-1"/>
          <w:sz w:val="24"/>
          <w:szCs w:val="24"/>
        </w:rPr>
        <w:t>调查结果报告包头市人民政府和包头市生态环境局。</w:t>
      </w:r>
    </w:p>
    <w:p w14:paraId="437A4E00">
      <w:pPr>
        <w:spacing w:before="161" w:line="218" w:lineRule="auto"/>
        <w:outlineLvl w:val="1"/>
        <w:rPr>
          <w:rFonts w:ascii="宋体" w:hAnsi="宋体" w:eastAsia="宋体" w:cs="宋体"/>
          <w:sz w:val="28"/>
          <w:szCs w:val="28"/>
        </w:rPr>
      </w:pPr>
      <w:bookmarkStart w:id="67" w:name="bookmark49"/>
      <w:bookmarkEnd w:id="67"/>
      <w:r>
        <w:rPr>
          <w:rFonts w:ascii="宋体" w:hAnsi="宋体" w:eastAsia="宋体" w:cs="宋体"/>
          <w:color w:val="506060"/>
          <w:sz w:val="28"/>
          <w:szCs w:val="28"/>
        </w:rPr>
        <w:t>5.</w:t>
      </w:r>
      <w:r>
        <w:rPr>
          <w:rFonts w:ascii="宋体" w:hAnsi="宋体" w:eastAsia="宋体" w:cs="宋体"/>
          <w:b/>
          <w:bCs/>
          <w:color w:val="506060"/>
          <w:sz w:val="28"/>
          <w:szCs w:val="28"/>
        </w:rPr>
        <w:t>3损害评估</w:t>
      </w:r>
    </w:p>
    <w:p w14:paraId="11C37B0D">
      <w:pPr>
        <w:spacing w:before="233" w:line="356" w:lineRule="auto"/>
        <w:ind w:right="23" w:firstLine="489"/>
        <w:jc w:val="both"/>
        <w:rPr>
          <w:rFonts w:ascii="宋体" w:hAnsi="宋体" w:eastAsia="宋体" w:cs="宋体"/>
          <w:sz w:val="24"/>
          <w:szCs w:val="24"/>
        </w:rPr>
      </w:pPr>
      <w:r>
        <w:rPr>
          <w:rFonts w:ascii="宋体" w:hAnsi="宋体" w:eastAsia="宋体" w:cs="宋体"/>
          <w:color w:val="506060"/>
          <w:spacing w:val="-3"/>
          <w:sz w:val="24"/>
          <w:szCs w:val="24"/>
        </w:rPr>
        <w:t>突发环境事件应急响应终止后，石拐区政府及包头</w:t>
      </w:r>
      <w:r>
        <w:rPr>
          <w:rFonts w:ascii="宋体" w:hAnsi="宋体" w:eastAsia="宋体" w:cs="宋体"/>
          <w:color w:val="506060"/>
          <w:spacing w:val="-4"/>
          <w:sz w:val="24"/>
          <w:szCs w:val="24"/>
        </w:rPr>
        <w:t>市生态环境局石拐区分局</w:t>
      </w:r>
      <w:r>
        <w:rPr>
          <w:rFonts w:ascii="宋体" w:hAnsi="宋体" w:eastAsia="宋体" w:cs="宋体"/>
          <w:color w:val="506060"/>
          <w:sz w:val="24"/>
          <w:szCs w:val="24"/>
        </w:rPr>
        <w:t xml:space="preserve"> </w:t>
      </w:r>
      <w:r>
        <w:rPr>
          <w:rFonts w:ascii="宋体" w:hAnsi="宋体" w:eastAsia="宋体" w:cs="宋体"/>
          <w:color w:val="506060"/>
          <w:spacing w:val="-2"/>
          <w:sz w:val="24"/>
          <w:szCs w:val="24"/>
        </w:rPr>
        <w:t>要及时组织开展污染损害评估，并将评估结果向社会公布</w:t>
      </w:r>
      <w:r>
        <w:rPr>
          <w:rFonts w:ascii="宋体" w:hAnsi="宋体" w:eastAsia="宋体" w:cs="宋体"/>
          <w:color w:val="506060"/>
          <w:spacing w:val="-3"/>
          <w:sz w:val="24"/>
          <w:szCs w:val="24"/>
        </w:rPr>
        <w:t>。根据环境应急过程记</w:t>
      </w:r>
      <w:r>
        <w:rPr>
          <w:rFonts w:ascii="宋体" w:hAnsi="宋体" w:eastAsia="宋体" w:cs="宋体"/>
          <w:color w:val="506060"/>
          <w:sz w:val="24"/>
          <w:szCs w:val="24"/>
        </w:rPr>
        <w:t xml:space="preserve"> </w:t>
      </w:r>
      <w:r>
        <w:rPr>
          <w:rFonts w:ascii="宋体" w:hAnsi="宋体" w:eastAsia="宋体" w:cs="宋体"/>
          <w:color w:val="506060"/>
          <w:spacing w:val="-7"/>
          <w:sz w:val="24"/>
          <w:szCs w:val="24"/>
        </w:rPr>
        <w:t>录、现场各专业应急救援队伍的总结报告、现场应急救援指挥部掌握的应急情况、</w:t>
      </w:r>
      <w:r>
        <w:rPr>
          <w:rFonts w:ascii="宋体" w:hAnsi="宋体" w:eastAsia="宋体" w:cs="宋体"/>
          <w:color w:val="506060"/>
          <w:spacing w:val="11"/>
          <w:sz w:val="24"/>
          <w:szCs w:val="24"/>
        </w:rPr>
        <w:t xml:space="preserve"> </w:t>
      </w:r>
      <w:r>
        <w:rPr>
          <w:rFonts w:ascii="宋体" w:hAnsi="宋体" w:eastAsia="宋体" w:cs="宋体"/>
          <w:color w:val="506060"/>
          <w:sz w:val="24"/>
          <w:szCs w:val="24"/>
        </w:rPr>
        <w:t xml:space="preserve">环境应急救援行动的实际效果及产生的社会影响、公众的反映等，客观、公正、 </w:t>
      </w:r>
      <w:r>
        <w:rPr>
          <w:rFonts w:ascii="宋体" w:hAnsi="宋体" w:eastAsia="宋体" w:cs="宋体"/>
          <w:color w:val="506060"/>
          <w:spacing w:val="-7"/>
          <w:sz w:val="24"/>
          <w:szCs w:val="24"/>
        </w:rPr>
        <w:t>全面、及时的开展突发环境事件应急处置工作评估。评估结论作为事件调查处理、</w:t>
      </w:r>
      <w:r>
        <w:rPr>
          <w:rFonts w:ascii="宋体" w:hAnsi="宋体" w:eastAsia="宋体" w:cs="宋体"/>
          <w:color w:val="506060"/>
          <w:spacing w:val="11"/>
          <w:sz w:val="24"/>
          <w:szCs w:val="24"/>
        </w:rPr>
        <w:t xml:space="preserve"> </w:t>
      </w:r>
      <w:r>
        <w:rPr>
          <w:rFonts w:ascii="宋体" w:hAnsi="宋体" w:eastAsia="宋体" w:cs="宋体"/>
          <w:color w:val="506060"/>
          <w:spacing w:val="-3"/>
          <w:sz w:val="24"/>
          <w:szCs w:val="24"/>
        </w:rPr>
        <w:t>损害赔偿、环境修复和生态恢复重建的依据。</w:t>
      </w:r>
    </w:p>
    <w:p w14:paraId="65AEF6A6">
      <w:pPr>
        <w:spacing w:before="93" w:line="220" w:lineRule="auto"/>
        <w:ind w:left="4"/>
        <w:outlineLvl w:val="1"/>
        <w:rPr>
          <w:rFonts w:ascii="宋体" w:hAnsi="宋体" w:eastAsia="宋体" w:cs="宋体"/>
          <w:sz w:val="28"/>
          <w:szCs w:val="28"/>
        </w:rPr>
      </w:pPr>
      <w:bookmarkStart w:id="68" w:name="bookmark50"/>
      <w:bookmarkEnd w:id="68"/>
      <w:r>
        <w:rPr>
          <w:rFonts w:ascii="宋体" w:hAnsi="宋体" w:eastAsia="宋体" w:cs="宋体"/>
          <w:b/>
          <w:bCs/>
          <w:color w:val="506060"/>
          <w:spacing w:val="-2"/>
          <w:sz w:val="28"/>
          <w:szCs w:val="28"/>
        </w:rPr>
        <w:t>5.4善后处置</w:t>
      </w:r>
    </w:p>
    <w:p w14:paraId="1B6301E5">
      <w:pPr>
        <w:spacing w:before="238" w:line="219" w:lineRule="auto"/>
        <w:ind w:left="489"/>
        <w:rPr>
          <w:rFonts w:ascii="宋体" w:hAnsi="宋体" w:eastAsia="宋体" w:cs="宋体"/>
          <w:sz w:val="24"/>
          <w:szCs w:val="24"/>
        </w:rPr>
      </w:pPr>
      <w:r>
        <w:rPr>
          <w:rFonts w:ascii="宋体" w:hAnsi="宋体" w:eastAsia="宋体" w:cs="宋体"/>
          <w:color w:val="506060"/>
          <w:spacing w:val="-1"/>
          <w:sz w:val="24"/>
          <w:szCs w:val="24"/>
        </w:rPr>
        <w:t>善后处置工作主要包括损害赔偿、风险源整改</w:t>
      </w:r>
      <w:r>
        <w:rPr>
          <w:rFonts w:ascii="宋体" w:hAnsi="宋体" w:eastAsia="宋体" w:cs="宋体"/>
          <w:color w:val="506060"/>
          <w:spacing w:val="-2"/>
          <w:sz w:val="24"/>
          <w:szCs w:val="24"/>
        </w:rPr>
        <w:t>和污染场地修复等具体工作。</w:t>
      </w:r>
    </w:p>
    <w:p w14:paraId="097FFFDB">
      <w:pPr>
        <w:spacing w:before="173" w:line="219" w:lineRule="auto"/>
        <w:ind w:left="489"/>
        <w:rPr>
          <w:rFonts w:ascii="宋体" w:hAnsi="宋体" w:eastAsia="宋体" w:cs="宋体"/>
          <w:sz w:val="24"/>
          <w:szCs w:val="24"/>
        </w:rPr>
      </w:pPr>
      <w:r>
        <w:rPr>
          <w:rFonts w:ascii="宋体" w:hAnsi="宋体" w:eastAsia="宋体" w:cs="宋体"/>
          <w:color w:val="506060"/>
          <w:sz w:val="24"/>
          <w:szCs w:val="24"/>
        </w:rPr>
        <w:t>(1)在石拐区政府统一领导下，</w:t>
      </w:r>
      <w:r>
        <w:rPr>
          <w:rFonts w:ascii="宋体" w:hAnsi="宋体" w:eastAsia="宋体" w:cs="宋体"/>
          <w:color w:val="606070"/>
          <w:sz w:val="24"/>
          <w:szCs w:val="24"/>
        </w:rPr>
        <w:t>由应急组织机构工作组负责组织实施善后处</w:t>
      </w:r>
    </w:p>
    <w:p w14:paraId="41756C2D">
      <w:pPr>
        <w:spacing w:line="219" w:lineRule="auto"/>
        <w:rPr>
          <w:rFonts w:ascii="宋体" w:hAnsi="宋体" w:eastAsia="宋体" w:cs="宋体"/>
          <w:sz w:val="24"/>
          <w:szCs w:val="24"/>
        </w:rPr>
        <w:sectPr>
          <w:footerReference r:id="rId34" w:type="default"/>
          <w:pgSz w:w="11910" w:h="16850"/>
          <w:pgMar w:top="1432" w:right="1776" w:bottom="1285" w:left="1710" w:header="0" w:footer="1123" w:gutter="0"/>
          <w:cols w:space="720" w:num="1"/>
        </w:sectPr>
      </w:pPr>
    </w:p>
    <w:p w14:paraId="4766AC53">
      <w:pPr>
        <w:spacing w:before="65" w:line="362" w:lineRule="auto"/>
        <w:ind w:right="124"/>
        <w:rPr>
          <w:rFonts w:ascii="宋体" w:hAnsi="宋体" w:eastAsia="宋体" w:cs="宋体"/>
          <w:sz w:val="24"/>
          <w:szCs w:val="24"/>
        </w:rPr>
      </w:pPr>
      <w:r>
        <w:rPr>
          <w:rFonts w:ascii="宋体" w:hAnsi="宋体" w:eastAsia="宋体" w:cs="宋体"/>
          <w:color w:val="506060"/>
          <w:spacing w:val="-3"/>
          <w:sz w:val="24"/>
          <w:szCs w:val="24"/>
        </w:rPr>
        <w:t>置工作，组织专家组对受灾范围进行评估，提出补偿和对遭受污染的生态环境进</w:t>
      </w:r>
      <w:r>
        <w:rPr>
          <w:rFonts w:ascii="宋体" w:hAnsi="宋体" w:eastAsia="宋体" w:cs="宋体"/>
          <w:color w:val="506060"/>
          <w:spacing w:val="13"/>
          <w:sz w:val="24"/>
          <w:szCs w:val="24"/>
        </w:rPr>
        <w:t xml:space="preserve"> </w:t>
      </w:r>
      <w:r>
        <w:rPr>
          <w:rFonts w:ascii="宋体" w:hAnsi="宋体" w:eastAsia="宋体" w:cs="宋体"/>
          <w:color w:val="506060"/>
          <w:spacing w:val="-1"/>
          <w:sz w:val="24"/>
          <w:szCs w:val="24"/>
        </w:rPr>
        <w:t>行恢复和监管的建议。</w:t>
      </w:r>
    </w:p>
    <w:p w14:paraId="5462E108">
      <w:pPr>
        <w:spacing w:line="286" w:lineRule="auto"/>
        <w:ind w:right="113" w:firstLine="489"/>
        <w:rPr>
          <w:rFonts w:ascii="宋体" w:hAnsi="宋体" w:eastAsia="宋体" w:cs="宋体"/>
          <w:sz w:val="24"/>
          <w:szCs w:val="24"/>
        </w:rPr>
      </w:pPr>
      <w:r>
        <w:rPr>
          <w:rFonts w:ascii="宋体" w:hAnsi="宋体" w:eastAsia="宋体" w:cs="宋体"/>
          <w:color w:val="606070"/>
          <w:spacing w:val="1"/>
          <w:sz w:val="24"/>
          <w:szCs w:val="24"/>
        </w:rPr>
        <w:t>(2)石拐区政府和石拐区民政局做好安民、安抚、理赔工作，</w:t>
      </w:r>
      <w:r>
        <w:rPr>
          <w:rFonts w:ascii="宋体" w:hAnsi="宋体" w:eastAsia="宋体" w:cs="宋体"/>
          <w:color w:val="506060"/>
          <w:sz w:val="24"/>
          <w:szCs w:val="24"/>
        </w:rPr>
        <w:t xml:space="preserve">有关部门和相 </w:t>
      </w:r>
      <w:r>
        <w:rPr>
          <w:rFonts w:ascii="宋体" w:hAnsi="宋体" w:eastAsia="宋体" w:cs="宋体"/>
          <w:color w:val="506060"/>
          <w:spacing w:val="-1"/>
          <w:sz w:val="24"/>
          <w:szCs w:val="24"/>
        </w:rPr>
        <w:t>应机构做好社会求助、保险赔付工作。</w:t>
      </w:r>
    </w:p>
    <w:p w14:paraId="72F93D52">
      <w:pPr>
        <w:spacing w:before="195" w:line="308" w:lineRule="auto"/>
        <w:ind w:right="103" w:firstLine="489"/>
        <w:rPr>
          <w:rFonts w:ascii="宋体" w:hAnsi="宋体" w:eastAsia="宋体" w:cs="宋体"/>
          <w:sz w:val="24"/>
          <w:szCs w:val="24"/>
        </w:rPr>
      </w:pPr>
      <w:r>
        <w:rPr>
          <w:rFonts w:ascii="宋体" w:hAnsi="宋体" w:eastAsia="宋体" w:cs="宋体"/>
          <w:color w:val="606070"/>
          <w:spacing w:val="1"/>
          <w:sz w:val="24"/>
          <w:szCs w:val="24"/>
        </w:rPr>
        <w:t>(3)包头市生态环境局石拐区分局负责组</w:t>
      </w:r>
      <w:r>
        <w:rPr>
          <w:rFonts w:ascii="宋体" w:hAnsi="宋体" w:eastAsia="宋体" w:cs="宋体"/>
          <w:color w:val="606070"/>
          <w:sz w:val="24"/>
          <w:szCs w:val="24"/>
        </w:rPr>
        <w:t>织、</w:t>
      </w:r>
      <w:r>
        <w:rPr>
          <w:rFonts w:ascii="宋体" w:hAnsi="宋体" w:eastAsia="宋体" w:cs="宋体"/>
          <w:color w:val="506060"/>
          <w:sz w:val="24"/>
          <w:szCs w:val="24"/>
        </w:rPr>
        <w:t xml:space="preserve">指导应急队伍维护、应急仪器 </w:t>
      </w:r>
      <w:r>
        <w:rPr>
          <w:rFonts w:ascii="宋体" w:hAnsi="宋体" w:eastAsia="宋体" w:cs="宋体"/>
          <w:color w:val="506060"/>
          <w:spacing w:val="-2"/>
          <w:sz w:val="24"/>
          <w:szCs w:val="24"/>
        </w:rPr>
        <w:t>设备保养，使之保持良好的技术状态，并继续跟踪监测，及时掌握情况，做好处</w:t>
      </w:r>
      <w:r>
        <w:rPr>
          <w:rFonts w:ascii="宋体" w:hAnsi="宋体" w:eastAsia="宋体" w:cs="宋体"/>
          <w:color w:val="506060"/>
          <w:sz w:val="24"/>
          <w:szCs w:val="24"/>
        </w:rPr>
        <w:t xml:space="preserve"> </w:t>
      </w:r>
      <w:r>
        <w:rPr>
          <w:rFonts w:ascii="宋体" w:hAnsi="宋体" w:eastAsia="宋体" w:cs="宋体"/>
          <w:color w:val="506060"/>
          <w:spacing w:val="-11"/>
          <w:sz w:val="24"/>
          <w:szCs w:val="24"/>
        </w:rPr>
        <w:t>置。</w:t>
      </w:r>
    </w:p>
    <w:p w14:paraId="5BCCBC6A">
      <w:pPr>
        <w:spacing w:before="200" w:line="290" w:lineRule="auto"/>
        <w:ind w:right="117" w:firstLine="489"/>
        <w:rPr>
          <w:rFonts w:ascii="宋体" w:hAnsi="宋体" w:eastAsia="宋体" w:cs="宋体"/>
          <w:sz w:val="24"/>
          <w:szCs w:val="24"/>
        </w:rPr>
      </w:pPr>
      <w:r>
        <w:rPr>
          <w:rFonts w:ascii="宋体" w:hAnsi="宋体" w:eastAsia="宋体" w:cs="宋体"/>
          <w:color w:val="506060"/>
          <w:spacing w:val="8"/>
          <w:sz w:val="24"/>
          <w:szCs w:val="24"/>
        </w:rPr>
        <w:t>(4)包头市生态环境局石拐区分局和石拐区农牧局在应急处置的同时制定</w:t>
      </w:r>
      <w:r>
        <w:rPr>
          <w:rFonts w:ascii="宋体" w:hAnsi="宋体" w:eastAsia="宋体" w:cs="宋体"/>
          <w:color w:val="506060"/>
          <w:sz w:val="24"/>
          <w:szCs w:val="24"/>
        </w:rPr>
        <w:t xml:space="preserve"> 针对风险源和污染场地的修复方案，并按计划实施。</w:t>
      </w:r>
    </w:p>
    <w:p w14:paraId="55FEBF32">
      <w:pPr>
        <w:spacing w:before="183" w:line="307" w:lineRule="auto"/>
        <w:ind w:right="113" w:firstLine="489"/>
        <w:rPr>
          <w:rFonts w:ascii="宋体" w:hAnsi="宋体" w:eastAsia="宋体" w:cs="宋体"/>
          <w:sz w:val="24"/>
          <w:szCs w:val="24"/>
        </w:rPr>
      </w:pPr>
      <w:r>
        <w:rPr>
          <w:rFonts w:ascii="宋体" w:hAnsi="宋体" w:eastAsia="宋体" w:cs="宋体"/>
          <w:color w:val="506060"/>
          <w:spacing w:val="1"/>
          <w:sz w:val="24"/>
          <w:szCs w:val="24"/>
        </w:rPr>
        <w:t>(5)在对饮用水源污染事件进行应急处置的同</w:t>
      </w:r>
      <w:r>
        <w:rPr>
          <w:rFonts w:ascii="宋体" w:hAnsi="宋体" w:eastAsia="宋体" w:cs="宋体"/>
          <w:color w:val="506060"/>
          <w:sz w:val="24"/>
          <w:szCs w:val="24"/>
        </w:rPr>
        <w:t xml:space="preserve">时，要迅速采取措施，对需要 </w:t>
      </w:r>
      <w:r>
        <w:rPr>
          <w:rFonts w:ascii="宋体" w:hAnsi="宋体" w:eastAsia="宋体" w:cs="宋体"/>
          <w:color w:val="506060"/>
          <w:spacing w:val="-2"/>
          <w:sz w:val="24"/>
          <w:szCs w:val="24"/>
        </w:rPr>
        <w:t>进行救济救助的，</w:t>
      </w:r>
      <w:r>
        <w:rPr>
          <w:rFonts w:ascii="宋体" w:hAnsi="宋体" w:eastAsia="宋体" w:cs="宋体"/>
          <w:color w:val="606070"/>
          <w:spacing w:val="-2"/>
          <w:sz w:val="24"/>
          <w:szCs w:val="24"/>
        </w:rPr>
        <w:t>及时组织救济救助，</w:t>
      </w:r>
      <w:r>
        <w:rPr>
          <w:rFonts w:ascii="宋体" w:hAnsi="宋体" w:eastAsia="宋体" w:cs="宋体"/>
          <w:color w:val="506060"/>
          <w:spacing w:val="-2"/>
          <w:sz w:val="24"/>
          <w:szCs w:val="24"/>
        </w:rPr>
        <w:t>尽快恢复当地</w:t>
      </w:r>
      <w:r>
        <w:rPr>
          <w:rFonts w:ascii="宋体" w:hAnsi="宋体" w:eastAsia="宋体" w:cs="宋体"/>
          <w:color w:val="506060"/>
          <w:spacing w:val="-3"/>
          <w:sz w:val="24"/>
          <w:szCs w:val="24"/>
        </w:rPr>
        <w:t>正常的社会秩序，并及时采</w:t>
      </w:r>
      <w:r>
        <w:rPr>
          <w:rFonts w:ascii="宋体" w:hAnsi="宋体" w:eastAsia="宋体" w:cs="宋体"/>
          <w:color w:val="506060"/>
          <w:sz w:val="24"/>
          <w:szCs w:val="24"/>
        </w:rPr>
        <w:t xml:space="preserve"> </w:t>
      </w:r>
      <w:r>
        <w:rPr>
          <w:rFonts w:ascii="宋体" w:hAnsi="宋体" w:eastAsia="宋体" w:cs="宋体"/>
          <w:color w:val="606070"/>
          <w:sz w:val="24"/>
          <w:szCs w:val="24"/>
        </w:rPr>
        <w:t>取措施防止次生灾害的发生。</w:t>
      </w:r>
    </w:p>
    <w:p w14:paraId="210EBE56">
      <w:pPr>
        <w:spacing w:before="203" w:line="315" w:lineRule="auto"/>
        <w:ind w:right="124" w:firstLine="489"/>
        <w:rPr>
          <w:rFonts w:ascii="宋体" w:hAnsi="宋体" w:eastAsia="宋体" w:cs="宋体"/>
          <w:sz w:val="24"/>
          <w:szCs w:val="24"/>
        </w:rPr>
      </w:pPr>
      <w:r>
        <w:rPr>
          <w:rFonts w:ascii="宋体" w:hAnsi="宋体" w:eastAsia="宋体" w:cs="宋体"/>
          <w:color w:val="506060"/>
          <w:sz w:val="24"/>
          <w:szCs w:val="24"/>
        </w:rPr>
        <w:t>(6)卫健委要做好灾害事故现场的消毒与疫情的监控工作。在应急处置过程</w:t>
      </w:r>
      <w:r>
        <w:rPr>
          <w:rFonts w:ascii="宋体" w:hAnsi="宋体" w:eastAsia="宋体" w:cs="宋体"/>
          <w:color w:val="506060"/>
          <w:spacing w:val="17"/>
          <w:sz w:val="24"/>
          <w:szCs w:val="24"/>
        </w:rPr>
        <w:t xml:space="preserve"> </w:t>
      </w:r>
      <w:r>
        <w:rPr>
          <w:rFonts w:ascii="宋体" w:hAnsi="宋体" w:eastAsia="宋体" w:cs="宋体"/>
          <w:color w:val="307060"/>
          <w:spacing w:val="-3"/>
          <w:sz w:val="24"/>
          <w:szCs w:val="24"/>
        </w:rPr>
        <w:t>中征用的救治、</w:t>
      </w:r>
      <w:r>
        <w:rPr>
          <w:rFonts w:ascii="宋体" w:hAnsi="宋体" w:eastAsia="宋体" w:cs="宋体"/>
          <w:color w:val="506060"/>
          <w:spacing w:val="-3"/>
          <w:sz w:val="24"/>
          <w:szCs w:val="24"/>
        </w:rPr>
        <w:t>救援物资，</w:t>
      </w:r>
      <w:r>
        <w:rPr>
          <w:rFonts w:ascii="宋体" w:hAnsi="宋体" w:eastAsia="宋体" w:cs="宋体"/>
          <w:color w:val="407050"/>
          <w:spacing w:val="-3"/>
          <w:sz w:val="24"/>
          <w:szCs w:val="24"/>
        </w:rPr>
        <w:t>交通工具及设施、设备等，应依据有关标准和程序给</w:t>
      </w:r>
      <w:r>
        <w:rPr>
          <w:rFonts w:ascii="宋体" w:hAnsi="宋体" w:eastAsia="宋体" w:cs="宋体"/>
          <w:color w:val="407050"/>
          <w:spacing w:val="13"/>
          <w:sz w:val="24"/>
          <w:szCs w:val="24"/>
        </w:rPr>
        <w:t xml:space="preserve"> </w:t>
      </w:r>
      <w:r>
        <w:rPr>
          <w:rFonts w:ascii="宋体" w:hAnsi="宋体" w:eastAsia="宋体" w:cs="宋体"/>
          <w:color w:val="506060"/>
          <w:spacing w:val="-10"/>
          <w:sz w:val="24"/>
          <w:szCs w:val="24"/>
        </w:rPr>
        <w:t>予补偿。</w:t>
      </w:r>
    </w:p>
    <w:p w14:paraId="65BD19BB">
      <w:pPr>
        <w:spacing w:before="193" w:line="219" w:lineRule="auto"/>
        <w:outlineLvl w:val="0"/>
        <w:rPr>
          <w:rFonts w:ascii="宋体" w:hAnsi="宋体" w:eastAsia="宋体" w:cs="宋体"/>
          <w:sz w:val="33"/>
          <w:szCs w:val="33"/>
        </w:rPr>
      </w:pPr>
      <w:bookmarkStart w:id="69" w:name="bookmark51"/>
      <w:bookmarkEnd w:id="69"/>
      <w:r>
        <w:rPr>
          <w:rFonts w:ascii="宋体" w:hAnsi="宋体" w:eastAsia="宋体" w:cs="宋体"/>
          <w:color w:val="606070"/>
          <w:spacing w:val="-21"/>
          <w:sz w:val="33"/>
          <w:szCs w:val="33"/>
        </w:rPr>
        <w:t>6</w:t>
      </w:r>
      <w:r>
        <w:rPr>
          <w:rFonts w:ascii="宋体" w:hAnsi="宋体" w:eastAsia="宋体" w:cs="宋体"/>
          <w:color w:val="606070"/>
          <w:spacing w:val="-88"/>
          <w:sz w:val="33"/>
          <w:szCs w:val="33"/>
        </w:rPr>
        <w:t xml:space="preserve"> </w:t>
      </w:r>
      <w:r>
        <w:rPr>
          <w:rFonts w:ascii="宋体" w:hAnsi="宋体" w:eastAsia="宋体" w:cs="宋体"/>
          <w:b/>
          <w:bCs/>
          <w:color w:val="606070"/>
          <w:spacing w:val="-21"/>
          <w:sz w:val="33"/>
          <w:szCs w:val="33"/>
        </w:rPr>
        <w:t>应急保障</w:t>
      </w:r>
    </w:p>
    <w:p w14:paraId="02251CB2">
      <w:pPr>
        <w:spacing w:before="238" w:line="341" w:lineRule="auto"/>
        <w:ind w:right="85" w:firstLine="489"/>
        <w:rPr>
          <w:rFonts w:ascii="宋体" w:hAnsi="宋体" w:eastAsia="宋体" w:cs="宋体"/>
          <w:sz w:val="24"/>
          <w:szCs w:val="24"/>
        </w:rPr>
      </w:pPr>
      <w:r>
        <w:rPr>
          <w:rFonts w:ascii="宋体" w:hAnsi="宋体" w:eastAsia="宋体" w:cs="宋体"/>
          <w:color w:val="506060"/>
          <w:spacing w:val="-2"/>
          <w:sz w:val="24"/>
          <w:szCs w:val="24"/>
        </w:rPr>
        <w:t>应急保障包括通讯和信息保障、应急队伍保障、应急物资保障、应急资源保</w:t>
      </w:r>
      <w:r>
        <w:rPr>
          <w:rFonts w:ascii="宋体" w:hAnsi="宋体" w:eastAsia="宋体" w:cs="宋体"/>
          <w:color w:val="506060"/>
          <w:spacing w:val="3"/>
          <w:sz w:val="24"/>
          <w:szCs w:val="24"/>
        </w:rPr>
        <w:t xml:space="preserve"> </w:t>
      </w:r>
      <w:r>
        <w:rPr>
          <w:rFonts w:ascii="宋体" w:hAnsi="宋体" w:eastAsia="宋体" w:cs="宋体"/>
          <w:color w:val="506060"/>
          <w:spacing w:val="-2"/>
          <w:sz w:val="24"/>
          <w:szCs w:val="24"/>
        </w:rPr>
        <w:t>障、经费保障和其他保障等内容。</w:t>
      </w:r>
    </w:p>
    <w:p w14:paraId="3023FEC5">
      <w:pPr>
        <w:spacing w:before="82" w:line="219" w:lineRule="auto"/>
        <w:outlineLvl w:val="1"/>
        <w:rPr>
          <w:rFonts w:ascii="宋体" w:hAnsi="宋体" w:eastAsia="宋体" w:cs="宋体"/>
          <w:sz w:val="28"/>
          <w:szCs w:val="28"/>
        </w:rPr>
      </w:pPr>
      <w:bookmarkStart w:id="70" w:name="bookmark52"/>
      <w:bookmarkEnd w:id="70"/>
      <w:r>
        <w:rPr>
          <w:rFonts w:ascii="宋体" w:hAnsi="宋体" w:eastAsia="宋体" w:cs="宋体"/>
          <w:color w:val="506060"/>
          <w:spacing w:val="2"/>
          <w:sz w:val="28"/>
          <w:szCs w:val="28"/>
        </w:rPr>
        <w:t>6.</w:t>
      </w:r>
      <w:r>
        <w:rPr>
          <w:rFonts w:ascii="宋体" w:hAnsi="宋体" w:eastAsia="宋体" w:cs="宋体"/>
          <w:b/>
          <w:bCs/>
          <w:color w:val="506060"/>
          <w:spacing w:val="2"/>
          <w:sz w:val="28"/>
          <w:szCs w:val="28"/>
        </w:rPr>
        <w:t>1通讯与信息保障</w:t>
      </w:r>
    </w:p>
    <w:p w14:paraId="6D085FD4">
      <w:pPr>
        <w:spacing w:before="251" w:line="349" w:lineRule="auto"/>
        <w:ind w:right="99" w:firstLine="489"/>
        <w:rPr>
          <w:rFonts w:ascii="宋体" w:hAnsi="宋体" w:eastAsia="宋体" w:cs="宋体"/>
          <w:sz w:val="24"/>
          <w:szCs w:val="24"/>
        </w:rPr>
      </w:pPr>
      <w:r>
        <w:rPr>
          <w:rFonts w:ascii="宋体" w:hAnsi="宋体" w:eastAsia="宋体" w:cs="宋体"/>
          <w:color w:val="506060"/>
          <w:spacing w:val="1"/>
          <w:sz w:val="24"/>
          <w:szCs w:val="24"/>
        </w:rPr>
        <w:t xml:space="preserve">包头市石拐区集中式饮用水水源地应急组织机构要健全突发环境事件应急  </w:t>
      </w:r>
      <w:r>
        <w:rPr>
          <w:rFonts w:ascii="宋体" w:hAnsi="宋体" w:eastAsia="宋体" w:cs="宋体"/>
          <w:color w:val="506060"/>
          <w:spacing w:val="-2"/>
          <w:sz w:val="24"/>
          <w:szCs w:val="24"/>
        </w:rPr>
        <w:t>保障体系，确保应急通信联络和信息传递需要。由中国联合网络通信股份有限公</w:t>
      </w:r>
      <w:r>
        <w:rPr>
          <w:rFonts w:ascii="宋体" w:hAnsi="宋体" w:eastAsia="宋体" w:cs="宋体"/>
          <w:color w:val="506060"/>
          <w:spacing w:val="3"/>
          <w:sz w:val="24"/>
          <w:szCs w:val="24"/>
        </w:rPr>
        <w:t xml:space="preserve"> </w:t>
      </w:r>
      <w:r>
        <w:rPr>
          <w:rFonts w:ascii="宋体" w:hAnsi="宋体" w:eastAsia="宋体" w:cs="宋体"/>
          <w:color w:val="506060"/>
          <w:spacing w:val="-2"/>
          <w:sz w:val="24"/>
          <w:szCs w:val="24"/>
        </w:rPr>
        <w:t>司石拐分公司和中国移动通信集团内蒙古有限公司石</w:t>
      </w:r>
      <w:r>
        <w:rPr>
          <w:rFonts w:ascii="宋体" w:hAnsi="宋体" w:eastAsia="宋体" w:cs="宋体"/>
          <w:color w:val="506060"/>
          <w:spacing w:val="-3"/>
          <w:sz w:val="24"/>
          <w:szCs w:val="24"/>
        </w:rPr>
        <w:t>拐分公司采用有线、无线和</w:t>
      </w:r>
      <w:r>
        <w:rPr>
          <w:rFonts w:ascii="宋体" w:hAnsi="宋体" w:eastAsia="宋体" w:cs="宋体"/>
          <w:color w:val="506060"/>
          <w:sz w:val="24"/>
          <w:szCs w:val="24"/>
        </w:rPr>
        <w:t xml:space="preserve"> </w:t>
      </w:r>
      <w:r>
        <w:rPr>
          <w:rFonts w:ascii="宋体" w:hAnsi="宋体" w:eastAsia="宋体" w:cs="宋体"/>
          <w:color w:val="506060"/>
          <w:spacing w:val="5"/>
          <w:sz w:val="24"/>
          <w:szCs w:val="24"/>
        </w:rPr>
        <w:t>计算机网络的方式，确保全天候通讯畅通(包括公休日)。负责饮用水</w:t>
      </w:r>
      <w:r>
        <w:rPr>
          <w:rFonts w:ascii="宋体" w:hAnsi="宋体" w:eastAsia="宋体" w:cs="宋体"/>
          <w:color w:val="506060"/>
          <w:spacing w:val="4"/>
          <w:sz w:val="24"/>
          <w:szCs w:val="24"/>
        </w:rPr>
        <w:t>水源地污</w:t>
      </w:r>
      <w:r>
        <w:rPr>
          <w:rFonts w:ascii="宋体" w:hAnsi="宋体" w:eastAsia="宋体" w:cs="宋体"/>
          <w:color w:val="506060"/>
          <w:sz w:val="24"/>
          <w:szCs w:val="24"/>
        </w:rPr>
        <w:t xml:space="preserve"> 染事件应急救援的职能部门，值班电话应24小时保持畅</w:t>
      </w:r>
      <w:r>
        <w:rPr>
          <w:rFonts w:ascii="宋体" w:hAnsi="宋体" w:eastAsia="宋体" w:cs="宋体"/>
          <w:color w:val="506060"/>
          <w:spacing w:val="-1"/>
          <w:sz w:val="24"/>
          <w:szCs w:val="24"/>
        </w:rPr>
        <w:t>通。</w:t>
      </w:r>
    </w:p>
    <w:p w14:paraId="482840B8">
      <w:pPr>
        <w:spacing w:before="4" w:line="356" w:lineRule="auto"/>
        <w:ind w:right="43" w:firstLine="489"/>
        <w:jc w:val="both"/>
        <w:rPr>
          <w:rFonts w:ascii="宋体" w:hAnsi="宋体" w:eastAsia="宋体" w:cs="宋体"/>
          <w:sz w:val="24"/>
          <w:szCs w:val="24"/>
        </w:rPr>
      </w:pPr>
      <w:r>
        <w:rPr>
          <w:rFonts w:ascii="宋体" w:hAnsi="宋体" w:eastAsia="宋体" w:cs="宋体"/>
          <w:color w:val="506060"/>
          <w:spacing w:val="-3"/>
          <w:sz w:val="24"/>
          <w:szCs w:val="24"/>
        </w:rPr>
        <w:t>由石拐区委宣传部、区教育局、区民政局和区文体广电旅游局借助报纸、电</w:t>
      </w:r>
      <w:r>
        <w:rPr>
          <w:rFonts w:ascii="宋体" w:hAnsi="宋体" w:eastAsia="宋体" w:cs="宋体"/>
          <w:color w:val="506060"/>
          <w:spacing w:val="2"/>
          <w:sz w:val="24"/>
          <w:szCs w:val="24"/>
        </w:rPr>
        <w:t xml:space="preserve"> </w:t>
      </w:r>
      <w:r>
        <w:rPr>
          <w:rFonts w:ascii="宋体" w:hAnsi="宋体" w:eastAsia="宋体" w:cs="宋体"/>
          <w:color w:val="506060"/>
          <w:spacing w:val="-2"/>
          <w:sz w:val="24"/>
          <w:szCs w:val="24"/>
        </w:rPr>
        <w:t>视、广播、互联网等途径，及时、主动、全面、客观</w:t>
      </w:r>
      <w:r>
        <w:rPr>
          <w:rFonts w:ascii="宋体" w:hAnsi="宋体" w:eastAsia="宋体" w:cs="宋体"/>
          <w:color w:val="506060"/>
          <w:spacing w:val="-3"/>
          <w:sz w:val="24"/>
          <w:szCs w:val="24"/>
        </w:rPr>
        <w:t>向社会发布突发环境事件和</w:t>
      </w:r>
      <w:r>
        <w:rPr>
          <w:rFonts w:ascii="宋体" w:hAnsi="宋体" w:eastAsia="宋体" w:cs="宋体"/>
          <w:color w:val="506060"/>
          <w:sz w:val="24"/>
          <w:szCs w:val="24"/>
        </w:rPr>
        <w:t xml:space="preserve"> </w:t>
      </w:r>
      <w:r>
        <w:rPr>
          <w:rFonts w:ascii="宋体" w:hAnsi="宋体" w:eastAsia="宋体" w:cs="宋体"/>
          <w:color w:val="506060"/>
          <w:spacing w:val="-2"/>
          <w:sz w:val="24"/>
          <w:szCs w:val="24"/>
        </w:rPr>
        <w:t>应对工作信息，回应社会关切，澄清不实信息，正确引导社会舆论。信息发布内</w:t>
      </w:r>
      <w:r>
        <w:rPr>
          <w:rFonts w:ascii="宋体" w:hAnsi="宋体" w:eastAsia="宋体" w:cs="宋体"/>
          <w:color w:val="506060"/>
          <w:spacing w:val="1"/>
          <w:sz w:val="24"/>
          <w:szCs w:val="24"/>
        </w:rPr>
        <w:t xml:space="preserve"> </w:t>
      </w:r>
      <w:r>
        <w:rPr>
          <w:rFonts w:ascii="宋体" w:hAnsi="宋体" w:eastAsia="宋体" w:cs="宋体"/>
          <w:color w:val="506060"/>
          <w:sz w:val="24"/>
          <w:szCs w:val="24"/>
        </w:rPr>
        <w:t>容包括事件原因、污染程度、影响范围、应对措施、</w:t>
      </w:r>
      <w:r>
        <w:rPr>
          <w:rFonts w:ascii="宋体" w:hAnsi="宋体" w:eastAsia="宋体" w:cs="宋体"/>
          <w:color w:val="506060"/>
          <w:spacing w:val="-1"/>
          <w:sz w:val="24"/>
          <w:szCs w:val="24"/>
        </w:rPr>
        <w:t>需要公众配合采取的措施、</w:t>
      </w:r>
      <w:r>
        <w:rPr>
          <w:rFonts w:ascii="宋体" w:hAnsi="宋体" w:eastAsia="宋体" w:cs="宋体"/>
          <w:color w:val="506060"/>
          <w:sz w:val="24"/>
          <w:szCs w:val="24"/>
        </w:rPr>
        <w:t xml:space="preserve"> </w:t>
      </w:r>
      <w:r>
        <w:rPr>
          <w:rFonts w:ascii="宋体" w:hAnsi="宋体" w:eastAsia="宋体" w:cs="宋体"/>
          <w:color w:val="506060"/>
          <w:spacing w:val="-2"/>
          <w:sz w:val="24"/>
          <w:szCs w:val="24"/>
        </w:rPr>
        <w:t>公众防范常识和事件调查处理进展情况。</w:t>
      </w:r>
    </w:p>
    <w:p w14:paraId="22188DB8">
      <w:pPr>
        <w:spacing w:line="356" w:lineRule="auto"/>
        <w:rPr>
          <w:rFonts w:ascii="宋体" w:hAnsi="宋体" w:eastAsia="宋体" w:cs="宋体"/>
          <w:sz w:val="24"/>
          <w:szCs w:val="24"/>
        </w:rPr>
        <w:sectPr>
          <w:footerReference r:id="rId35" w:type="default"/>
          <w:pgSz w:w="11910" w:h="16850"/>
          <w:pgMar w:top="1432" w:right="1786" w:bottom="1431" w:left="1690" w:header="0" w:footer="1287" w:gutter="0"/>
          <w:cols w:space="720" w:num="1"/>
        </w:sectPr>
      </w:pPr>
    </w:p>
    <w:p w14:paraId="4EF2CBD5">
      <w:pPr>
        <w:spacing w:before="135" w:line="219" w:lineRule="auto"/>
        <w:outlineLvl w:val="1"/>
        <w:rPr>
          <w:rFonts w:ascii="宋体" w:hAnsi="宋体" w:eastAsia="宋体" w:cs="宋体"/>
          <w:sz w:val="28"/>
          <w:szCs w:val="28"/>
        </w:rPr>
      </w:pPr>
      <w:bookmarkStart w:id="71" w:name="bookmark53"/>
      <w:bookmarkEnd w:id="71"/>
      <w:r>
        <w:rPr>
          <w:rFonts w:ascii="宋体" w:hAnsi="宋体" w:eastAsia="宋体" w:cs="宋体"/>
          <w:sz w:val="28"/>
          <w:szCs w:val="28"/>
        </w:rPr>
        <w:t>6.</w:t>
      </w:r>
      <w:r>
        <w:rPr>
          <w:rFonts w:ascii="宋体" w:hAnsi="宋体" w:eastAsia="宋体" w:cs="宋体"/>
          <w:b/>
          <w:bCs/>
          <w:sz w:val="28"/>
          <w:szCs w:val="28"/>
        </w:rPr>
        <w:t>2应急队伍保障</w:t>
      </w:r>
    </w:p>
    <w:p w14:paraId="47236DE6">
      <w:pPr>
        <w:spacing w:before="139" w:line="363" w:lineRule="auto"/>
        <w:ind w:right="103" w:firstLine="489"/>
        <w:jc w:val="both"/>
        <w:rPr>
          <w:rFonts w:ascii="宋体" w:hAnsi="宋体" w:eastAsia="宋体" w:cs="宋体"/>
          <w:sz w:val="24"/>
          <w:szCs w:val="24"/>
        </w:rPr>
      </w:pPr>
      <w:r>
        <w:rPr>
          <w:rFonts w:ascii="宋体" w:hAnsi="宋体" w:eastAsia="宋体" w:cs="宋体"/>
          <w:spacing w:val="-2"/>
          <w:sz w:val="24"/>
          <w:szCs w:val="24"/>
        </w:rPr>
        <w:t>石拐区级政府应加强环境应急管理机构和应急救援队伍能力建设</w:t>
      </w:r>
      <w:r>
        <w:rPr>
          <w:rFonts w:ascii="宋体" w:hAnsi="宋体" w:eastAsia="宋体" w:cs="宋体"/>
          <w:spacing w:val="-3"/>
          <w:sz w:val="24"/>
          <w:szCs w:val="24"/>
        </w:rPr>
        <w:t>，加强环境</w:t>
      </w:r>
      <w:r>
        <w:rPr>
          <w:rFonts w:ascii="宋体" w:hAnsi="宋体" w:eastAsia="宋体" w:cs="宋体"/>
          <w:sz w:val="24"/>
          <w:szCs w:val="24"/>
        </w:rPr>
        <w:t xml:space="preserve"> </w:t>
      </w:r>
      <w:r>
        <w:rPr>
          <w:rFonts w:ascii="宋体" w:hAnsi="宋体" w:eastAsia="宋体" w:cs="宋体"/>
          <w:spacing w:val="-2"/>
          <w:sz w:val="24"/>
          <w:szCs w:val="24"/>
        </w:rPr>
        <w:t>应急专家队伍建设和管理，</w:t>
      </w:r>
      <w:r>
        <w:rPr>
          <w:rFonts w:ascii="宋体" w:hAnsi="宋体" w:eastAsia="宋体" w:cs="宋体"/>
          <w:color w:val="607070"/>
          <w:spacing w:val="-2"/>
          <w:sz w:val="24"/>
          <w:szCs w:val="24"/>
        </w:rPr>
        <w:t>加强应急监测培训，提高突发环境事件快速响应及应</w:t>
      </w:r>
      <w:r>
        <w:rPr>
          <w:rFonts w:ascii="宋体" w:hAnsi="宋体" w:eastAsia="宋体" w:cs="宋体"/>
          <w:color w:val="607070"/>
          <w:spacing w:val="9"/>
          <w:sz w:val="24"/>
          <w:szCs w:val="24"/>
        </w:rPr>
        <w:t xml:space="preserve"> </w:t>
      </w:r>
      <w:r>
        <w:rPr>
          <w:rFonts w:ascii="宋体" w:hAnsi="宋体" w:eastAsia="宋体" w:cs="宋体"/>
          <w:spacing w:val="-5"/>
          <w:sz w:val="24"/>
          <w:szCs w:val="24"/>
        </w:rPr>
        <w:t>急处置能力。</w:t>
      </w:r>
    </w:p>
    <w:p w14:paraId="5C0D3C6C">
      <w:pPr>
        <w:spacing w:before="1" w:line="356" w:lineRule="auto"/>
        <w:ind w:right="43" w:firstLine="489"/>
        <w:rPr>
          <w:rFonts w:ascii="宋体" w:hAnsi="宋体" w:eastAsia="宋体" w:cs="宋体"/>
          <w:sz w:val="24"/>
          <w:szCs w:val="24"/>
        </w:rPr>
      </w:pPr>
      <w:r>
        <w:rPr>
          <w:rFonts w:ascii="宋体" w:hAnsi="宋体" w:eastAsia="宋体" w:cs="宋体"/>
          <w:spacing w:val="1"/>
          <w:sz w:val="24"/>
          <w:szCs w:val="24"/>
        </w:rPr>
        <w:t>各部门要制定日常应急队伍管理办法，</w:t>
      </w:r>
      <w:r>
        <w:rPr>
          <w:rFonts w:ascii="宋体" w:hAnsi="宋体" w:eastAsia="宋体" w:cs="宋体"/>
          <w:color w:val="607070"/>
          <w:spacing w:val="1"/>
          <w:sz w:val="24"/>
          <w:szCs w:val="24"/>
        </w:rPr>
        <w:t>明确职能范围内本单位应急</w:t>
      </w:r>
      <w:r>
        <w:rPr>
          <w:rFonts w:ascii="宋体" w:hAnsi="宋体" w:eastAsia="宋体" w:cs="宋体"/>
          <w:color w:val="607070"/>
          <w:sz w:val="24"/>
          <w:szCs w:val="24"/>
        </w:rPr>
        <w:t xml:space="preserve">队伍人  </w:t>
      </w:r>
      <w:r>
        <w:rPr>
          <w:rFonts w:ascii="宋体" w:hAnsi="宋体" w:eastAsia="宋体" w:cs="宋体"/>
          <w:spacing w:val="-7"/>
          <w:sz w:val="24"/>
          <w:szCs w:val="24"/>
        </w:rPr>
        <w:t>员、联系电话、专业、职务和职责。各应急小组人员在每半年组织一次桌面演练，</w:t>
      </w:r>
      <w:r>
        <w:rPr>
          <w:rFonts w:ascii="宋体" w:hAnsi="宋体" w:eastAsia="宋体" w:cs="宋体"/>
          <w:spacing w:val="10"/>
          <w:sz w:val="24"/>
          <w:szCs w:val="24"/>
        </w:rPr>
        <w:t xml:space="preserve"> </w:t>
      </w:r>
      <w:r>
        <w:rPr>
          <w:rFonts w:ascii="宋体" w:hAnsi="宋体" w:eastAsia="宋体" w:cs="宋体"/>
          <w:sz w:val="24"/>
          <w:szCs w:val="24"/>
        </w:rPr>
        <w:t>演练内容包括水源地发生突发环境事件职能范围内应急演练。</w:t>
      </w:r>
    </w:p>
    <w:p w14:paraId="3340BFE3">
      <w:pPr>
        <w:spacing w:before="84" w:line="357" w:lineRule="auto"/>
        <w:ind w:right="103" w:firstLine="489"/>
        <w:rPr>
          <w:rFonts w:ascii="宋体" w:hAnsi="宋体" w:eastAsia="宋体" w:cs="宋体"/>
          <w:sz w:val="24"/>
          <w:szCs w:val="24"/>
        </w:rPr>
      </w:pPr>
      <w:r>
        <w:rPr>
          <w:rFonts w:ascii="宋体" w:hAnsi="宋体" w:eastAsia="宋体" w:cs="宋体"/>
          <w:spacing w:val="-2"/>
          <w:sz w:val="24"/>
          <w:szCs w:val="24"/>
        </w:rPr>
        <w:t>石拐区每年组织一次水源地应急组织机构应急演练，意在加强不</w:t>
      </w:r>
      <w:r>
        <w:rPr>
          <w:rFonts w:ascii="宋体" w:hAnsi="宋体" w:eastAsia="宋体" w:cs="宋体"/>
          <w:spacing w:val="-3"/>
          <w:sz w:val="24"/>
          <w:szCs w:val="24"/>
        </w:rPr>
        <w:t>同部门、人</w:t>
      </w:r>
      <w:r>
        <w:rPr>
          <w:rFonts w:ascii="宋体" w:hAnsi="宋体" w:eastAsia="宋体" w:cs="宋体"/>
          <w:sz w:val="24"/>
          <w:szCs w:val="24"/>
        </w:rPr>
        <w:t xml:space="preserve"> </w:t>
      </w:r>
      <w:r>
        <w:rPr>
          <w:rFonts w:ascii="宋体" w:hAnsi="宋体" w:eastAsia="宋体" w:cs="宋体"/>
          <w:spacing w:val="-2"/>
          <w:sz w:val="24"/>
          <w:szCs w:val="24"/>
        </w:rPr>
        <w:t>员之间的协作方式和熟练配合程度。</w:t>
      </w:r>
    </w:p>
    <w:p w14:paraId="685424F8">
      <w:pPr>
        <w:spacing w:before="2" w:line="371" w:lineRule="auto"/>
        <w:ind w:right="7" w:firstLine="489"/>
        <w:rPr>
          <w:rFonts w:ascii="宋体" w:hAnsi="宋体" w:eastAsia="宋体" w:cs="宋体"/>
          <w:sz w:val="24"/>
          <w:szCs w:val="24"/>
        </w:rPr>
      </w:pPr>
      <w:r>
        <w:rPr>
          <w:rFonts w:ascii="宋体" w:hAnsi="宋体" w:eastAsia="宋体" w:cs="宋体"/>
          <w:sz w:val="24"/>
          <w:szCs w:val="24"/>
        </w:rPr>
        <w:t>石拐区人民政府应加强各应急队伍应</w:t>
      </w:r>
      <w:r>
        <w:rPr>
          <w:rFonts w:ascii="宋体" w:hAnsi="宋体" w:eastAsia="宋体" w:cs="宋体"/>
          <w:color w:val="607070"/>
          <w:sz w:val="24"/>
          <w:szCs w:val="24"/>
        </w:rPr>
        <w:t>急知识培训，</w:t>
      </w:r>
      <w:r>
        <w:rPr>
          <w:rFonts w:ascii="宋体" w:hAnsi="宋体" w:eastAsia="宋体" w:cs="宋体"/>
          <w:color w:val="607070"/>
          <w:spacing w:val="-1"/>
          <w:sz w:val="24"/>
          <w:szCs w:val="24"/>
        </w:rPr>
        <w:t>培训内容包括信息报告、</w:t>
      </w:r>
      <w:r>
        <w:rPr>
          <w:rFonts w:ascii="宋体" w:hAnsi="宋体" w:eastAsia="宋体" w:cs="宋体"/>
          <w:color w:val="607070"/>
          <w:sz w:val="24"/>
          <w:szCs w:val="24"/>
        </w:rPr>
        <w:t xml:space="preserve"> </w:t>
      </w:r>
      <w:r>
        <w:rPr>
          <w:rFonts w:ascii="宋体" w:hAnsi="宋体" w:eastAsia="宋体" w:cs="宋体"/>
          <w:spacing w:val="-6"/>
          <w:sz w:val="24"/>
          <w:szCs w:val="24"/>
        </w:rPr>
        <w:t>个体防护、应急资源实用、</w:t>
      </w:r>
      <w:r>
        <w:rPr>
          <w:rFonts w:ascii="宋体" w:hAnsi="宋体" w:eastAsia="宋体" w:cs="宋体"/>
          <w:color w:val="607070"/>
          <w:spacing w:val="-6"/>
          <w:sz w:val="24"/>
          <w:szCs w:val="24"/>
        </w:rPr>
        <w:t>应急监测布点及监测方法、应急处置方法等培训科目。</w:t>
      </w:r>
    </w:p>
    <w:p w14:paraId="0CDB4A8D">
      <w:pPr>
        <w:spacing w:before="33" w:line="219" w:lineRule="auto"/>
        <w:outlineLvl w:val="1"/>
        <w:rPr>
          <w:rFonts w:ascii="宋体" w:hAnsi="宋体" w:eastAsia="宋体" w:cs="宋体"/>
          <w:sz w:val="28"/>
          <w:szCs w:val="28"/>
        </w:rPr>
      </w:pPr>
      <w:bookmarkStart w:id="72" w:name="bookmark54"/>
      <w:bookmarkEnd w:id="72"/>
      <w:r>
        <w:rPr>
          <w:rFonts w:ascii="宋体" w:hAnsi="宋体" w:eastAsia="宋体" w:cs="宋体"/>
          <w:sz w:val="28"/>
          <w:szCs w:val="28"/>
        </w:rPr>
        <w:t>6.</w:t>
      </w:r>
      <w:r>
        <w:rPr>
          <w:rFonts w:ascii="宋体" w:hAnsi="宋体" w:eastAsia="宋体" w:cs="宋体"/>
          <w:b/>
          <w:bCs/>
          <w:sz w:val="28"/>
          <w:szCs w:val="28"/>
        </w:rPr>
        <w:t>3应急资源保障</w:t>
      </w:r>
    </w:p>
    <w:p w14:paraId="4A56A0C3">
      <w:pPr>
        <w:spacing w:before="247" w:line="356" w:lineRule="auto"/>
        <w:ind w:right="43" w:firstLine="489"/>
        <w:rPr>
          <w:rFonts w:ascii="宋体" w:hAnsi="宋体" w:eastAsia="宋体" w:cs="宋体"/>
          <w:sz w:val="24"/>
          <w:szCs w:val="24"/>
        </w:rPr>
      </w:pPr>
      <w:r>
        <w:rPr>
          <w:rFonts w:ascii="宋体" w:hAnsi="宋体" w:eastAsia="宋体" w:cs="宋体"/>
          <w:spacing w:val="1"/>
          <w:sz w:val="24"/>
          <w:szCs w:val="24"/>
        </w:rPr>
        <w:t>石拐区住建局要做好应急物资的日常监管工作，组织好应急物资的紧</w:t>
      </w:r>
      <w:r>
        <w:rPr>
          <w:rFonts w:ascii="宋体" w:hAnsi="宋体" w:eastAsia="宋体" w:cs="宋体"/>
          <w:sz w:val="24"/>
          <w:szCs w:val="24"/>
        </w:rPr>
        <w:t xml:space="preserve">急生  </w:t>
      </w:r>
      <w:r>
        <w:rPr>
          <w:rFonts w:ascii="宋体" w:hAnsi="宋体" w:eastAsia="宋体" w:cs="宋体"/>
          <w:spacing w:val="-2"/>
          <w:sz w:val="24"/>
          <w:szCs w:val="24"/>
        </w:rPr>
        <w:t>产、储备调拨和紧急配送工作，保障支援突发环境事件应急处置和环境恢复治理</w:t>
      </w:r>
      <w:r>
        <w:rPr>
          <w:rFonts w:ascii="宋体" w:hAnsi="宋体" w:eastAsia="宋体" w:cs="宋体"/>
          <w:spacing w:val="7"/>
          <w:sz w:val="24"/>
          <w:szCs w:val="24"/>
        </w:rPr>
        <w:t xml:space="preserve"> </w:t>
      </w:r>
      <w:r>
        <w:rPr>
          <w:rFonts w:ascii="宋体" w:hAnsi="宋体" w:eastAsia="宋体" w:cs="宋体"/>
          <w:spacing w:val="-3"/>
          <w:sz w:val="24"/>
          <w:szCs w:val="24"/>
        </w:rPr>
        <w:t>工作的需要。同时，</w:t>
      </w:r>
      <w:r>
        <w:rPr>
          <w:rFonts w:ascii="宋体" w:hAnsi="宋体" w:eastAsia="宋体" w:cs="宋体"/>
          <w:color w:val="507070"/>
          <w:spacing w:val="-3"/>
          <w:sz w:val="24"/>
          <w:szCs w:val="24"/>
        </w:rPr>
        <w:t>鼓励支持社会化应急</w:t>
      </w:r>
      <w:r>
        <w:rPr>
          <w:rFonts w:ascii="宋体" w:hAnsi="宋体" w:eastAsia="宋体" w:cs="宋体"/>
          <w:spacing w:val="-3"/>
          <w:sz w:val="24"/>
          <w:szCs w:val="24"/>
        </w:rPr>
        <w:t>物资的储备，</w:t>
      </w:r>
      <w:r>
        <w:rPr>
          <w:rFonts w:ascii="宋体" w:hAnsi="宋体" w:eastAsia="宋体" w:cs="宋体"/>
          <w:color w:val="507070"/>
          <w:spacing w:val="-3"/>
          <w:sz w:val="24"/>
          <w:szCs w:val="24"/>
        </w:rPr>
        <w:t>保障应急物资、生活必需</w:t>
      </w:r>
      <w:r>
        <w:rPr>
          <w:rFonts w:ascii="宋体" w:hAnsi="宋体" w:eastAsia="宋体" w:cs="宋体"/>
          <w:color w:val="507070"/>
          <w:spacing w:val="13"/>
          <w:sz w:val="24"/>
          <w:szCs w:val="24"/>
        </w:rPr>
        <w:t xml:space="preserve"> </w:t>
      </w:r>
      <w:r>
        <w:rPr>
          <w:rFonts w:ascii="宋体" w:hAnsi="宋体" w:eastAsia="宋体" w:cs="宋体"/>
          <w:spacing w:val="-2"/>
          <w:sz w:val="24"/>
          <w:szCs w:val="24"/>
        </w:rPr>
        <w:t>品的生产和供给。石拐区住建局每半年对各类应急物资检查一次，发现损坏或过</w:t>
      </w:r>
      <w:r>
        <w:rPr>
          <w:rFonts w:ascii="宋体" w:hAnsi="宋体" w:eastAsia="宋体" w:cs="宋体"/>
          <w:spacing w:val="8"/>
          <w:sz w:val="24"/>
          <w:szCs w:val="24"/>
        </w:rPr>
        <w:t xml:space="preserve"> </w:t>
      </w:r>
      <w:r>
        <w:rPr>
          <w:rFonts w:ascii="宋体" w:hAnsi="宋体" w:eastAsia="宋体" w:cs="宋体"/>
          <w:sz w:val="24"/>
          <w:szCs w:val="24"/>
        </w:rPr>
        <w:t>期的物资要及时予以更换或补充。同时，制定应急资源保存、更新及养护方</w:t>
      </w:r>
      <w:r>
        <w:rPr>
          <w:rFonts w:ascii="宋体" w:hAnsi="宋体" w:eastAsia="宋体" w:cs="宋体"/>
          <w:spacing w:val="-1"/>
          <w:sz w:val="24"/>
          <w:szCs w:val="24"/>
        </w:rPr>
        <w:t>案。</w:t>
      </w:r>
      <w:r>
        <w:rPr>
          <w:rFonts w:ascii="宋体" w:hAnsi="宋体" w:eastAsia="宋体" w:cs="宋体"/>
          <w:sz w:val="24"/>
          <w:szCs w:val="24"/>
        </w:rPr>
        <w:t xml:space="preserve"> </w:t>
      </w:r>
      <w:r>
        <w:rPr>
          <w:rFonts w:ascii="宋体" w:hAnsi="宋体" w:eastAsia="宋体" w:cs="宋体"/>
          <w:spacing w:val="-2"/>
          <w:sz w:val="24"/>
          <w:szCs w:val="24"/>
        </w:rPr>
        <w:t>根据事件和演练经验，</w:t>
      </w:r>
      <w:r>
        <w:rPr>
          <w:rFonts w:ascii="宋体" w:hAnsi="宋体" w:eastAsia="宋体" w:cs="宋体"/>
          <w:color w:val="607070"/>
          <w:spacing w:val="-2"/>
          <w:sz w:val="24"/>
          <w:szCs w:val="24"/>
        </w:rPr>
        <w:t>持续改进提高药剂、</w:t>
      </w:r>
      <w:r>
        <w:rPr>
          <w:rFonts w:ascii="宋体" w:hAnsi="宋体" w:eastAsia="宋体" w:cs="宋体"/>
          <w:spacing w:val="-2"/>
          <w:sz w:val="24"/>
          <w:szCs w:val="24"/>
        </w:rPr>
        <w:t>物资、装备</w:t>
      </w:r>
      <w:r>
        <w:rPr>
          <w:rFonts w:ascii="宋体" w:hAnsi="宋体" w:eastAsia="宋体" w:cs="宋体"/>
          <w:spacing w:val="-3"/>
          <w:sz w:val="24"/>
          <w:szCs w:val="24"/>
        </w:rPr>
        <w:t>的存放规范，应急设施的</w:t>
      </w:r>
      <w:r>
        <w:rPr>
          <w:rFonts w:ascii="宋体" w:hAnsi="宋体" w:eastAsia="宋体" w:cs="宋体"/>
          <w:sz w:val="24"/>
          <w:szCs w:val="24"/>
        </w:rPr>
        <w:t xml:space="preserve"> 建设要求，确保事件发生时能够快速高效的使用应急物</w:t>
      </w:r>
      <w:r>
        <w:rPr>
          <w:rFonts w:ascii="宋体" w:hAnsi="宋体" w:eastAsia="宋体" w:cs="宋体"/>
          <w:spacing w:val="-1"/>
          <w:sz w:val="24"/>
          <w:szCs w:val="24"/>
        </w:rPr>
        <w:t>资。</w:t>
      </w:r>
    </w:p>
    <w:p w14:paraId="19160774">
      <w:pPr>
        <w:spacing w:before="111" w:line="219" w:lineRule="auto"/>
        <w:outlineLvl w:val="1"/>
        <w:rPr>
          <w:rFonts w:ascii="宋体" w:hAnsi="宋体" w:eastAsia="宋体" w:cs="宋体"/>
          <w:sz w:val="28"/>
          <w:szCs w:val="28"/>
        </w:rPr>
      </w:pPr>
      <w:bookmarkStart w:id="73" w:name="bookmark55"/>
      <w:bookmarkEnd w:id="73"/>
      <w:r>
        <w:rPr>
          <w:rFonts w:ascii="宋体" w:hAnsi="宋体" w:eastAsia="宋体" w:cs="宋体"/>
          <w:sz w:val="28"/>
          <w:szCs w:val="28"/>
        </w:rPr>
        <w:t>6.</w:t>
      </w:r>
      <w:r>
        <w:rPr>
          <w:rFonts w:ascii="宋体" w:hAnsi="宋体" w:eastAsia="宋体" w:cs="宋体"/>
          <w:b/>
          <w:bCs/>
          <w:sz w:val="28"/>
          <w:szCs w:val="28"/>
        </w:rPr>
        <w:t>4经费保障</w:t>
      </w:r>
    </w:p>
    <w:p w14:paraId="4C94C1FC">
      <w:pPr>
        <w:spacing w:before="228" w:line="363" w:lineRule="auto"/>
        <w:ind w:right="101" w:firstLine="489"/>
        <w:jc w:val="both"/>
        <w:rPr>
          <w:rFonts w:ascii="宋体" w:hAnsi="宋体" w:eastAsia="宋体" w:cs="宋体"/>
          <w:sz w:val="24"/>
          <w:szCs w:val="24"/>
        </w:rPr>
      </w:pPr>
      <w:r>
        <w:rPr>
          <w:rFonts w:ascii="宋体" w:hAnsi="宋体" w:eastAsia="宋体" w:cs="宋体"/>
          <w:spacing w:val="1"/>
          <w:sz w:val="24"/>
          <w:szCs w:val="24"/>
        </w:rPr>
        <w:t>石拐区政府水源地突发环境事件应急工作经费(包括预案编制、修编、预案</w:t>
      </w:r>
      <w:r>
        <w:rPr>
          <w:rFonts w:ascii="宋体" w:hAnsi="宋体" w:eastAsia="宋体" w:cs="宋体"/>
          <w:spacing w:val="18"/>
          <w:sz w:val="24"/>
          <w:szCs w:val="24"/>
        </w:rPr>
        <w:t xml:space="preserve"> </w:t>
      </w:r>
      <w:r>
        <w:rPr>
          <w:rFonts w:ascii="宋体" w:hAnsi="宋体" w:eastAsia="宋体" w:cs="宋体"/>
          <w:spacing w:val="1"/>
          <w:sz w:val="24"/>
          <w:szCs w:val="24"/>
        </w:rPr>
        <w:t>演练、应急物资更新)列入石拐区年度预算予以保障，应急处置结束后，石拐区</w:t>
      </w:r>
      <w:r>
        <w:rPr>
          <w:rFonts w:ascii="宋体" w:hAnsi="宋体" w:eastAsia="宋体" w:cs="宋体"/>
          <w:spacing w:val="14"/>
          <w:sz w:val="24"/>
          <w:szCs w:val="24"/>
        </w:rPr>
        <w:t xml:space="preserve"> </w:t>
      </w:r>
      <w:r>
        <w:rPr>
          <w:rFonts w:ascii="宋体" w:hAnsi="宋体" w:eastAsia="宋体" w:cs="宋体"/>
          <w:spacing w:val="-2"/>
          <w:sz w:val="24"/>
          <w:szCs w:val="24"/>
        </w:rPr>
        <w:t>政府据实核销应急处置费用。同时，石拐区政府应加强应急工作经费的审计和监</w:t>
      </w:r>
      <w:r>
        <w:rPr>
          <w:rFonts w:ascii="宋体" w:hAnsi="宋体" w:eastAsia="宋体" w:cs="宋体"/>
          <w:spacing w:val="9"/>
          <w:sz w:val="24"/>
          <w:szCs w:val="24"/>
        </w:rPr>
        <w:t xml:space="preserve"> </w:t>
      </w:r>
      <w:r>
        <w:rPr>
          <w:rFonts w:ascii="宋体" w:hAnsi="宋体" w:eastAsia="宋体" w:cs="宋体"/>
          <w:spacing w:val="-2"/>
          <w:sz w:val="24"/>
          <w:szCs w:val="24"/>
        </w:rPr>
        <w:t>督管理，确保专款专用。</w:t>
      </w:r>
    </w:p>
    <w:p w14:paraId="2DD2E4C4">
      <w:pPr>
        <w:spacing w:before="13" w:line="219" w:lineRule="auto"/>
        <w:outlineLvl w:val="1"/>
        <w:rPr>
          <w:rFonts w:ascii="宋体" w:hAnsi="宋体" w:eastAsia="宋体" w:cs="宋体"/>
          <w:sz w:val="31"/>
          <w:szCs w:val="31"/>
        </w:rPr>
      </w:pPr>
      <w:bookmarkStart w:id="74" w:name="bookmark56"/>
      <w:bookmarkEnd w:id="74"/>
      <w:r>
        <w:rPr>
          <w:rFonts w:ascii="宋体" w:hAnsi="宋体" w:eastAsia="宋体" w:cs="宋体"/>
          <w:spacing w:val="-20"/>
          <w:sz w:val="31"/>
          <w:szCs w:val="31"/>
        </w:rPr>
        <w:t>6.</w:t>
      </w:r>
      <w:r>
        <w:rPr>
          <w:rFonts w:ascii="宋体" w:hAnsi="宋体" w:eastAsia="宋体" w:cs="宋体"/>
          <w:b/>
          <w:bCs/>
          <w:spacing w:val="-20"/>
          <w:sz w:val="31"/>
          <w:szCs w:val="31"/>
        </w:rPr>
        <w:t>5其他保障</w:t>
      </w:r>
    </w:p>
    <w:p w14:paraId="451284AD">
      <w:pPr>
        <w:spacing w:before="221" w:line="219" w:lineRule="auto"/>
        <w:ind w:left="3"/>
        <w:outlineLvl w:val="2"/>
        <w:rPr>
          <w:rFonts w:ascii="宋体" w:hAnsi="宋体" w:eastAsia="宋体" w:cs="宋体"/>
          <w:sz w:val="25"/>
          <w:szCs w:val="25"/>
        </w:rPr>
      </w:pPr>
      <w:bookmarkStart w:id="75" w:name="bookmark57"/>
      <w:bookmarkEnd w:id="75"/>
      <w:r>
        <w:rPr>
          <w:rFonts w:ascii="宋体" w:hAnsi="宋体" w:eastAsia="宋体" w:cs="宋体"/>
          <w:b/>
          <w:bCs/>
          <w:spacing w:val="-8"/>
          <w:sz w:val="25"/>
          <w:szCs w:val="25"/>
        </w:rPr>
        <w:t>6.5.1医疗卫生保障</w:t>
      </w:r>
    </w:p>
    <w:p w14:paraId="6C7FE174">
      <w:pPr>
        <w:spacing w:before="187" w:line="371" w:lineRule="auto"/>
        <w:ind w:right="99" w:firstLine="489"/>
        <w:rPr>
          <w:rFonts w:ascii="宋体" w:hAnsi="宋体" w:eastAsia="宋体" w:cs="宋体"/>
          <w:sz w:val="24"/>
          <w:szCs w:val="24"/>
        </w:rPr>
      </w:pPr>
      <w:r>
        <w:rPr>
          <w:rFonts w:ascii="宋体" w:hAnsi="宋体" w:eastAsia="宋体" w:cs="宋体"/>
          <w:spacing w:val="-2"/>
          <w:sz w:val="24"/>
          <w:szCs w:val="24"/>
        </w:rPr>
        <w:t>石拐区卫健委负责饮用水源污染事件的医疗卫生保障工作，</w:t>
      </w:r>
      <w:r>
        <w:rPr>
          <w:rFonts w:ascii="宋体" w:hAnsi="宋体" w:eastAsia="宋体" w:cs="宋体"/>
          <w:spacing w:val="-3"/>
          <w:sz w:val="24"/>
          <w:szCs w:val="24"/>
        </w:rPr>
        <w:t>制定医疗救助保</w:t>
      </w:r>
      <w:r>
        <w:rPr>
          <w:rFonts w:ascii="宋体" w:hAnsi="宋体" w:eastAsia="宋体" w:cs="宋体"/>
          <w:sz w:val="24"/>
          <w:szCs w:val="24"/>
        </w:rPr>
        <w:t xml:space="preserve"> </w:t>
      </w:r>
      <w:r>
        <w:rPr>
          <w:rFonts w:ascii="宋体" w:hAnsi="宋体" w:eastAsia="宋体" w:cs="宋体"/>
          <w:spacing w:val="-2"/>
          <w:sz w:val="24"/>
          <w:szCs w:val="24"/>
        </w:rPr>
        <w:t>障计划，确定有关的应急准备措施、落实医疗救护队伍和医疗设施、物资的调度</w:t>
      </w:r>
    </w:p>
    <w:p w14:paraId="73344E40">
      <w:pPr>
        <w:spacing w:line="371" w:lineRule="auto"/>
        <w:rPr>
          <w:rFonts w:ascii="宋体" w:hAnsi="宋体" w:eastAsia="宋体" w:cs="宋体"/>
          <w:sz w:val="24"/>
          <w:szCs w:val="24"/>
        </w:rPr>
        <w:sectPr>
          <w:footerReference r:id="rId36" w:type="default"/>
          <w:pgSz w:w="11910" w:h="16850"/>
          <w:pgMar w:top="1432" w:right="1786" w:bottom="1445" w:left="1680" w:header="0" w:footer="1283" w:gutter="0"/>
          <w:cols w:space="720" w:num="1"/>
        </w:sectPr>
      </w:pPr>
    </w:p>
    <w:p w14:paraId="02F3F89E">
      <w:pPr>
        <w:spacing w:before="148" w:line="220" w:lineRule="auto"/>
        <w:rPr>
          <w:rFonts w:ascii="宋体" w:hAnsi="宋体" w:eastAsia="宋体" w:cs="宋体"/>
          <w:sz w:val="25"/>
          <w:szCs w:val="25"/>
        </w:rPr>
      </w:pPr>
      <w:r>
        <w:rPr>
          <w:rFonts w:ascii="宋体" w:hAnsi="宋体" w:eastAsia="宋体" w:cs="宋体"/>
          <w:spacing w:val="-11"/>
          <w:sz w:val="25"/>
          <w:szCs w:val="25"/>
        </w:rPr>
        <w:t>方案。</w:t>
      </w:r>
    </w:p>
    <w:p w14:paraId="5A2B8200">
      <w:pPr>
        <w:spacing w:before="187" w:line="219" w:lineRule="auto"/>
        <w:outlineLvl w:val="2"/>
        <w:rPr>
          <w:rFonts w:ascii="宋体" w:hAnsi="宋体" w:eastAsia="宋体" w:cs="宋体"/>
          <w:sz w:val="24"/>
          <w:szCs w:val="24"/>
        </w:rPr>
      </w:pPr>
      <w:bookmarkStart w:id="76" w:name="bookmark58"/>
      <w:bookmarkEnd w:id="76"/>
      <w:r>
        <w:rPr>
          <w:rFonts w:ascii="宋体" w:hAnsi="宋体" w:eastAsia="宋体" w:cs="宋体"/>
          <w:sz w:val="24"/>
          <w:szCs w:val="24"/>
        </w:rPr>
        <w:t>6.5.</w:t>
      </w:r>
      <w:r>
        <w:rPr>
          <w:rFonts w:ascii="宋体" w:hAnsi="宋体" w:eastAsia="宋体" w:cs="宋体"/>
          <w:b/>
          <w:bCs/>
          <w:sz w:val="24"/>
          <w:szCs w:val="24"/>
        </w:rPr>
        <w:t>2交通运输保障</w:t>
      </w:r>
    </w:p>
    <w:p w14:paraId="6FD55D88">
      <w:pPr>
        <w:spacing w:before="205" w:line="357" w:lineRule="auto"/>
        <w:ind w:right="33" w:firstLine="479"/>
        <w:jc w:val="both"/>
        <w:rPr>
          <w:rFonts w:ascii="宋体" w:hAnsi="宋体" w:eastAsia="宋体" w:cs="宋体"/>
          <w:sz w:val="24"/>
          <w:szCs w:val="24"/>
        </w:rPr>
      </w:pPr>
      <w:r>
        <w:rPr>
          <w:rFonts w:ascii="宋体" w:hAnsi="宋体" w:eastAsia="宋体" w:cs="宋体"/>
          <w:spacing w:val="-6"/>
          <w:sz w:val="24"/>
          <w:szCs w:val="24"/>
        </w:rPr>
        <w:t>饮用水源污染事件发生后，石拐区农牧局负责牵头协调，有关部门相互配合，</w:t>
      </w:r>
      <w:r>
        <w:rPr>
          <w:rFonts w:ascii="宋体" w:hAnsi="宋体" w:eastAsia="宋体" w:cs="宋体"/>
          <w:spacing w:val="12"/>
          <w:sz w:val="24"/>
          <w:szCs w:val="24"/>
        </w:rPr>
        <w:t xml:space="preserve"> </w:t>
      </w:r>
      <w:r>
        <w:rPr>
          <w:rFonts w:ascii="宋体" w:hAnsi="宋体" w:eastAsia="宋体" w:cs="宋体"/>
          <w:spacing w:val="-1"/>
          <w:sz w:val="24"/>
          <w:szCs w:val="24"/>
        </w:rPr>
        <w:t>根据各自职能开展交通运输保障的应急处置工作。及时对现场和相</w:t>
      </w:r>
      <w:r>
        <w:rPr>
          <w:rFonts w:ascii="宋体" w:hAnsi="宋体" w:eastAsia="宋体" w:cs="宋体"/>
          <w:spacing w:val="-2"/>
          <w:sz w:val="24"/>
          <w:szCs w:val="24"/>
        </w:rPr>
        <w:t>关通道实行交</w:t>
      </w:r>
      <w:r>
        <w:rPr>
          <w:rFonts w:ascii="宋体" w:hAnsi="宋体" w:eastAsia="宋体" w:cs="宋体"/>
          <w:sz w:val="24"/>
          <w:szCs w:val="24"/>
        </w:rPr>
        <w:t xml:space="preserve"> </w:t>
      </w:r>
      <w:r>
        <w:rPr>
          <w:rFonts w:ascii="宋体" w:hAnsi="宋体" w:eastAsia="宋体" w:cs="宋体"/>
          <w:spacing w:val="-3"/>
          <w:sz w:val="24"/>
          <w:szCs w:val="24"/>
        </w:rPr>
        <w:t>通管制，组织开通应急救援“绿色通道</w:t>
      </w:r>
      <w:r>
        <w:rPr>
          <w:rFonts w:ascii="宋体" w:hAnsi="宋体" w:eastAsia="宋体" w:cs="宋体"/>
          <w:spacing w:val="-84"/>
          <w:sz w:val="24"/>
          <w:szCs w:val="24"/>
        </w:rPr>
        <w:t xml:space="preserve"> </w:t>
      </w:r>
      <w:r>
        <w:rPr>
          <w:rFonts w:ascii="宋体" w:hAnsi="宋体" w:eastAsia="宋体" w:cs="宋体"/>
          <w:spacing w:val="-3"/>
          <w:sz w:val="24"/>
          <w:szCs w:val="24"/>
        </w:rPr>
        <w:t>”,负责交通工具的保障，确保救灾物资、</w:t>
      </w:r>
      <w:r>
        <w:rPr>
          <w:rFonts w:ascii="宋体" w:hAnsi="宋体" w:eastAsia="宋体" w:cs="宋体"/>
          <w:sz w:val="24"/>
          <w:szCs w:val="24"/>
        </w:rPr>
        <w:t xml:space="preserve"> </w:t>
      </w:r>
      <w:r>
        <w:rPr>
          <w:rFonts w:ascii="宋体" w:hAnsi="宋体" w:eastAsia="宋体" w:cs="宋体"/>
          <w:spacing w:val="-2"/>
          <w:sz w:val="24"/>
          <w:szCs w:val="24"/>
        </w:rPr>
        <w:t>器材和人员的紧急输送，在道路、市政设施受损时，要迅速组织有关部门和专业</w:t>
      </w:r>
      <w:r>
        <w:rPr>
          <w:rFonts w:ascii="宋体" w:hAnsi="宋体" w:eastAsia="宋体" w:cs="宋体"/>
          <w:spacing w:val="3"/>
          <w:sz w:val="24"/>
          <w:szCs w:val="24"/>
        </w:rPr>
        <w:t xml:space="preserve">  </w:t>
      </w:r>
      <w:r>
        <w:rPr>
          <w:rFonts w:ascii="宋体" w:hAnsi="宋体" w:eastAsia="宋体" w:cs="宋体"/>
          <w:spacing w:val="-2"/>
          <w:sz w:val="24"/>
          <w:szCs w:val="24"/>
        </w:rPr>
        <w:t>队伍进行抢修，尽快恢复良好状态。</w:t>
      </w:r>
    </w:p>
    <w:p w14:paraId="057EBEE5">
      <w:pPr>
        <w:spacing w:line="220" w:lineRule="auto"/>
        <w:outlineLvl w:val="2"/>
        <w:rPr>
          <w:rFonts w:ascii="宋体" w:hAnsi="宋体" w:eastAsia="宋体" w:cs="宋体"/>
          <w:sz w:val="24"/>
          <w:szCs w:val="24"/>
        </w:rPr>
      </w:pPr>
      <w:bookmarkStart w:id="77" w:name="bookmark60"/>
      <w:bookmarkEnd w:id="77"/>
      <w:r>
        <w:rPr>
          <w:rFonts w:ascii="宋体" w:hAnsi="宋体" w:eastAsia="宋体" w:cs="宋体"/>
          <w:spacing w:val="1"/>
          <w:sz w:val="24"/>
          <w:szCs w:val="24"/>
        </w:rPr>
        <w:t>6.5.</w:t>
      </w:r>
      <w:r>
        <w:rPr>
          <w:rFonts w:ascii="宋体" w:hAnsi="宋体" w:eastAsia="宋体" w:cs="宋体"/>
          <w:b/>
          <w:bCs/>
          <w:spacing w:val="1"/>
          <w:sz w:val="24"/>
          <w:szCs w:val="24"/>
        </w:rPr>
        <w:t>3治安维护</w:t>
      </w:r>
    </w:p>
    <w:p w14:paraId="78CC96B3">
      <w:pPr>
        <w:spacing w:before="206" w:line="356" w:lineRule="auto"/>
        <w:ind w:right="125" w:firstLine="479"/>
        <w:jc w:val="both"/>
        <w:rPr>
          <w:rFonts w:ascii="宋体" w:hAnsi="宋体" w:eastAsia="宋体" w:cs="宋体"/>
          <w:sz w:val="24"/>
          <w:szCs w:val="24"/>
        </w:rPr>
      </w:pPr>
      <w:r>
        <w:rPr>
          <w:rFonts w:ascii="宋体" w:hAnsi="宋体" w:eastAsia="宋体" w:cs="宋体"/>
          <w:spacing w:val="-1"/>
          <w:sz w:val="24"/>
          <w:szCs w:val="24"/>
        </w:rPr>
        <w:t>石拐区公安局负责组织饮用水源污染事件的应急治安</w:t>
      </w:r>
      <w:r>
        <w:rPr>
          <w:rFonts w:ascii="宋体" w:hAnsi="宋体" w:eastAsia="宋体" w:cs="宋体"/>
          <w:spacing w:val="-2"/>
          <w:sz w:val="24"/>
          <w:szCs w:val="24"/>
        </w:rPr>
        <w:t>保障工作，制定治安保</w:t>
      </w:r>
      <w:r>
        <w:rPr>
          <w:rFonts w:ascii="宋体" w:hAnsi="宋体" w:eastAsia="宋体" w:cs="宋体"/>
          <w:sz w:val="24"/>
          <w:szCs w:val="24"/>
        </w:rPr>
        <w:t xml:space="preserve"> </w:t>
      </w:r>
      <w:r>
        <w:rPr>
          <w:rFonts w:ascii="宋体" w:hAnsi="宋体" w:eastAsia="宋体" w:cs="宋体"/>
          <w:spacing w:val="-2"/>
          <w:sz w:val="24"/>
          <w:szCs w:val="24"/>
        </w:rPr>
        <w:t>障方案，明确在应急状态下维护社会治安秩序的各项准备措施。饮用水源污染事</w:t>
      </w:r>
      <w:r>
        <w:rPr>
          <w:rFonts w:ascii="宋体" w:hAnsi="宋体" w:eastAsia="宋体" w:cs="宋体"/>
          <w:spacing w:val="10"/>
          <w:sz w:val="24"/>
          <w:szCs w:val="24"/>
        </w:rPr>
        <w:t xml:space="preserve"> </w:t>
      </w:r>
      <w:r>
        <w:rPr>
          <w:rFonts w:ascii="宋体" w:hAnsi="宋体" w:eastAsia="宋体" w:cs="宋体"/>
          <w:spacing w:val="-2"/>
          <w:sz w:val="24"/>
          <w:szCs w:val="24"/>
        </w:rPr>
        <w:t>件发生后，公安部门要迅速组织力量，根据需要在现场周围设立警戒区和安排警</w:t>
      </w:r>
      <w:r>
        <w:rPr>
          <w:rFonts w:ascii="宋体" w:hAnsi="宋体" w:eastAsia="宋体" w:cs="宋体"/>
          <w:spacing w:val="9"/>
          <w:sz w:val="24"/>
          <w:szCs w:val="24"/>
        </w:rPr>
        <w:t xml:space="preserve"> </w:t>
      </w:r>
      <w:r>
        <w:rPr>
          <w:rFonts w:ascii="宋体" w:hAnsi="宋体" w:eastAsia="宋体" w:cs="宋体"/>
          <w:spacing w:val="-2"/>
          <w:sz w:val="24"/>
          <w:szCs w:val="24"/>
        </w:rPr>
        <w:t>戒人员，维持社会治安秩序。加强对重点地区和重要设施及物资，特别是应急救</w:t>
      </w:r>
    </w:p>
    <w:p w14:paraId="2C2D0F8A">
      <w:pPr>
        <w:spacing w:line="220" w:lineRule="auto"/>
        <w:rPr>
          <w:rFonts w:ascii="宋体" w:hAnsi="宋体" w:eastAsia="宋体" w:cs="宋体"/>
          <w:sz w:val="24"/>
          <w:szCs w:val="24"/>
        </w:rPr>
      </w:pPr>
      <w:r>
        <w:rPr>
          <w:rFonts w:ascii="宋体" w:hAnsi="宋体" w:eastAsia="宋体" w:cs="宋体"/>
          <w:color w:val="506070"/>
          <w:spacing w:val="-3"/>
          <w:sz w:val="24"/>
          <w:szCs w:val="24"/>
        </w:rPr>
        <w:t>援物资和装备的警卫及防范保护。</w:t>
      </w:r>
    </w:p>
    <w:p w14:paraId="26A4DC63">
      <w:pPr>
        <w:spacing w:before="200" w:line="219" w:lineRule="auto"/>
        <w:outlineLvl w:val="2"/>
        <w:rPr>
          <w:rFonts w:ascii="宋体" w:hAnsi="宋体" w:eastAsia="宋体" w:cs="宋体"/>
          <w:sz w:val="26"/>
          <w:szCs w:val="26"/>
        </w:rPr>
      </w:pPr>
      <w:bookmarkStart w:id="78" w:name="bookmark61"/>
      <w:bookmarkEnd w:id="78"/>
      <w:r>
        <w:rPr>
          <w:rFonts w:ascii="宋体" w:hAnsi="宋体" w:eastAsia="宋体" w:cs="宋体"/>
          <w:spacing w:val="-12"/>
          <w:sz w:val="26"/>
          <w:szCs w:val="26"/>
        </w:rPr>
        <w:t>6.5.</w:t>
      </w:r>
      <w:r>
        <w:rPr>
          <w:rFonts w:ascii="宋体" w:hAnsi="宋体" w:eastAsia="宋体" w:cs="宋体"/>
          <w:b/>
          <w:bCs/>
          <w:spacing w:val="-12"/>
          <w:sz w:val="26"/>
          <w:szCs w:val="26"/>
        </w:rPr>
        <w:t>4人员防护保障</w:t>
      </w:r>
    </w:p>
    <w:p w14:paraId="2BAE3EE0">
      <w:pPr>
        <w:spacing w:before="172" w:line="338" w:lineRule="auto"/>
        <w:ind w:right="93" w:firstLine="479"/>
        <w:rPr>
          <w:rFonts w:ascii="宋体" w:hAnsi="宋体" w:eastAsia="宋体" w:cs="宋体"/>
          <w:sz w:val="24"/>
          <w:szCs w:val="24"/>
        </w:rPr>
      </w:pPr>
      <w:r>
        <w:rPr>
          <w:rFonts w:ascii="宋体" w:hAnsi="宋体" w:eastAsia="宋体" w:cs="宋体"/>
          <w:sz w:val="24"/>
          <w:szCs w:val="24"/>
        </w:rPr>
        <w:t>石拐区住建局要为涉险人员和应急救援人员提供</w:t>
      </w:r>
      <w:r>
        <w:rPr>
          <w:rFonts w:ascii="宋体" w:hAnsi="宋体" w:eastAsia="宋体" w:cs="宋体"/>
          <w:spacing w:val="-1"/>
          <w:sz w:val="24"/>
          <w:szCs w:val="24"/>
        </w:rPr>
        <w:t>符合要求的安全防护装备，</w:t>
      </w:r>
      <w:r>
        <w:rPr>
          <w:rFonts w:ascii="宋体" w:hAnsi="宋体" w:eastAsia="宋体" w:cs="宋体"/>
          <w:sz w:val="24"/>
          <w:szCs w:val="24"/>
        </w:rPr>
        <w:t xml:space="preserve"> 帮助采取必要的防护措施，严格按照程序开展应急救</w:t>
      </w:r>
      <w:r>
        <w:rPr>
          <w:rFonts w:ascii="宋体" w:hAnsi="宋体" w:eastAsia="宋体" w:cs="宋体"/>
          <w:spacing w:val="-1"/>
          <w:sz w:val="24"/>
          <w:szCs w:val="24"/>
        </w:rPr>
        <w:t>援工作，确保人员的安全。</w:t>
      </w:r>
    </w:p>
    <w:p w14:paraId="219414AC">
      <w:pPr>
        <w:spacing w:before="1" w:line="219" w:lineRule="auto"/>
        <w:outlineLvl w:val="2"/>
        <w:rPr>
          <w:rFonts w:ascii="宋体" w:hAnsi="宋体" w:eastAsia="宋体" w:cs="宋体"/>
          <w:sz w:val="26"/>
          <w:szCs w:val="26"/>
        </w:rPr>
      </w:pPr>
      <w:bookmarkStart w:id="79" w:name="bookmark62"/>
      <w:bookmarkEnd w:id="79"/>
      <w:r>
        <w:rPr>
          <w:rFonts w:ascii="宋体" w:hAnsi="宋体" w:eastAsia="宋体" w:cs="宋体"/>
          <w:spacing w:val="-13"/>
          <w:sz w:val="26"/>
          <w:szCs w:val="26"/>
        </w:rPr>
        <w:t>6.5.</w:t>
      </w:r>
      <w:r>
        <w:rPr>
          <w:rFonts w:ascii="宋体" w:hAnsi="宋体" w:eastAsia="宋体" w:cs="宋体"/>
          <w:b/>
          <w:bCs/>
          <w:spacing w:val="-13"/>
          <w:sz w:val="26"/>
          <w:szCs w:val="26"/>
        </w:rPr>
        <w:t>5技术装备保障</w:t>
      </w:r>
    </w:p>
    <w:p w14:paraId="049F550F">
      <w:pPr>
        <w:spacing w:before="122" w:line="357" w:lineRule="auto"/>
        <w:ind w:right="140" w:firstLine="479"/>
        <w:jc w:val="both"/>
        <w:rPr>
          <w:rFonts w:ascii="宋体" w:hAnsi="宋体" w:eastAsia="宋体" w:cs="宋体"/>
          <w:sz w:val="24"/>
          <w:szCs w:val="24"/>
        </w:rPr>
      </w:pPr>
      <w:r>
        <w:rPr>
          <w:rFonts w:ascii="宋体" w:hAnsi="宋体" w:eastAsia="宋体" w:cs="宋体"/>
          <w:spacing w:val="-2"/>
          <w:sz w:val="24"/>
          <w:szCs w:val="24"/>
        </w:rPr>
        <w:t>各应急组织机构成员单位要制定合理的采购计划，定期对应急处置的技术装</w:t>
      </w:r>
      <w:r>
        <w:rPr>
          <w:rFonts w:ascii="宋体" w:hAnsi="宋体" w:eastAsia="宋体" w:cs="宋体"/>
          <w:spacing w:val="6"/>
          <w:sz w:val="24"/>
          <w:szCs w:val="24"/>
        </w:rPr>
        <w:t xml:space="preserve"> </w:t>
      </w:r>
      <w:r>
        <w:rPr>
          <w:rFonts w:ascii="宋体" w:hAnsi="宋体" w:eastAsia="宋体" w:cs="宋体"/>
          <w:spacing w:val="-2"/>
          <w:sz w:val="24"/>
          <w:szCs w:val="24"/>
        </w:rPr>
        <w:t>备进行更新，同时加强与应急处置专家的联系，确保及时得到技术援助。政府支</w:t>
      </w:r>
      <w:r>
        <w:rPr>
          <w:rFonts w:ascii="宋体" w:hAnsi="宋体" w:eastAsia="宋体" w:cs="宋体"/>
          <w:spacing w:val="12"/>
          <w:sz w:val="24"/>
          <w:szCs w:val="24"/>
        </w:rPr>
        <w:t xml:space="preserve"> </w:t>
      </w:r>
      <w:r>
        <w:rPr>
          <w:rFonts w:ascii="宋体" w:hAnsi="宋体" w:eastAsia="宋体" w:cs="宋体"/>
          <w:color w:val="506070"/>
          <w:spacing w:val="-2"/>
          <w:sz w:val="24"/>
          <w:szCs w:val="24"/>
        </w:rPr>
        <w:t>持突发环境事件应急处置和监测先进技术、</w:t>
      </w:r>
      <w:r>
        <w:rPr>
          <w:rFonts w:ascii="宋体" w:hAnsi="宋体" w:eastAsia="宋体" w:cs="宋体"/>
          <w:spacing w:val="-2"/>
          <w:sz w:val="24"/>
          <w:szCs w:val="24"/>
        </w:rPr>
        <w:t>装备的研发，</w:t>
      </w:r>
      <w:r>
        <w:rPr>
          <w:rFonts w:ascii="宋体" w:hAnsi="宋体" w:eastAsia="宋体" w:cs="宋体"/>
          <w:color w:val="506070"/>
          <w:spacing w:val="-2"/>
          <w:sz w:val="24"/>
          <w:szCs w:val="24"/>
        </w:rPr>
        <w:t>建立环境应急指挥技术</w:t>
      </w:r>
      <w:r>
        <w:rPr>
          <w:rFonts w:ascii="宋体" w:hAnsi="宋体" w:eastAsia="宋体" w:cs="宋体"/>
          <w:color w:val="506070"/>
          <w:spacing w:val="10"/>
          <w:sz w:val="24"/>
          <w:szCs w:val="24"/>
        </w:rPr>
        <w:t xml:space="preserve"> </w:t>
      </w:r>
      <w:r>
        <w:rPr>
          <w:rFonts w:ascii="宋体" w:hAnsi="宋体" w:eastAsia="宋体" w:cs="宋体"/>
          <w:sz w:val="24"/>
          <w:szCs w:val="24"/>
        </w:rPr>
        <w:t>平台，逐步实现信息综合集成、分析处理、污染评估的智能化和数字化。</w:t>
      </w:r>
    </w:p>
    <w:p w14:paraId="22383AF1">
      <w:pPr>
        <w:spacing w:before="51" w:line="219" w:lineRule="auto"/>
        <w:outlineLvl w:val="2"/>
        <w:rPr>
          <w:rFonts w:ascii="宋体" w:hAnsi="宋体" w:eastAsia="宋体" w:cs="宋体"/>
          <w:sz w:val="26"/>
          <w:szCs w:val="26"/>
        </w:rPr>
      </w:pPr>
      <w:bookmarkStart w:id="80" w:name="bookmark63"/>
      <w:bookmarkEnd w:id="80"/>
      <w:r>
        <w:rPr>
          <w:rFonts w:ascii="宋体" w:hAnsi="宋体" w:eastAsia="宋体" w:cs="宋体"/>
          <w:spacing w:val="-13"/>
          <w:sz w:val="26"/>
          <w:szCs w:val="26"/>
        </w:rPr>
        <w:t>6.5.</w:t>
      </w:r>
      <w:r>
        <w:rPr>
          <w:rFonts w:ascii="宋体" w:hAnsi="宋体" w:eastAsia="宋体" w:cs="宋体"/>
          <w:b/>
          <w:bCs/>
          <w:spacing w:val="-13"/>
          <w:sz w:val="26"/>
          <w:szCs w:val="26"/>
        </w:rPr>
        <w:t>6社会动员保障</w:t>
      </w:r>
    </w:p>
    <w:p w14:paraId="31395EAB">
      <w:pPr>
        <w:spacing w:before="205" w:line="348" w:lineRule="auto"/>
        <w:ind w:right="143" w:firstLine="479"/>
        <w:jc w:val="both"/>
        <w:rPr>
          <w:rFonts w:ascii="宋体" w:hAnsi="宋体" w:eastAsia="宋体" w:cs="宋体"/>
          <w:sz w:val="24"/>
          <w:szCs w:val="24"/>
        </w:rPr>
      </w:pPr>
      <w:r>
        <w:rPr>
          <w:rFonts w:ascii="宋体" w:hAnsi="宋体" w:eastAsia="宋体" w:cs="宋体"/>
          <w:spacing w:val="-2"/>
          <w:sz w:val="24"/>
          <w:szCs w:val="24"/>
        </w:rPr>
        <w:t>石拐区政府制定社会动员方案，明确动员的条件、范围、程序和相关的保障</w:t>
      </w:r>
      <w:r>
        <w:rPr>
          <w:rFonts w:ascii="宋体" w:hAnsi="宋体" w:eastAsia="宋体" w:cs="宋体"/>
          <w:spacing w:val="5"/>
          <w:sz w:val="24"/>
          <w:szCs w:val="24"/>
        </w:rPr>
        <w:t xml:space="preserve"> </w:t>
      </w:r>
      <w:r>
        <w:rPr>
          <w:rFonts w:ascii="宋体" w:hAnsi="宋体" w:eastAsia="宋体" w:cs="宋体"/>
          <w:spacing w:val="-2"/>
          <w:sz w:val="24"/>
          <w:szCs w:val="24"/>
        </w:rPr>
        <w:t>措施，运用各种形式，将饮用水源污染事件发生和影响范围的对象动员起来，共</w:t>
      </w:r>
      <w:r>
        <w:rPr>
          <w:rFonts w:ascii="宋体" w:hAnsi="宋体" w:eastAsia="宋体" w:cs="宋体"/>
          <w:spacing w:val="9"/>
          <w:sz w:val="24"/>
          <w:szCs w:val="24"/>
        </w:rPr>
        <w:t xml:space="preserve"> </w:t>
      </w:r>
      <w:r>
        <w:rPr>
          <w:rFonts w:ascii="宋体" w:hAnsi="宋体" w:eastAsia="宋体" w:cs="宋体"/>
          <w:spacing w:val="-2"/>
          <w:sz w:val="24"/>
          <w:szCs w:val="24"/>
        </w:rPr>
        <w:t>同参与和配合饮用水源污染事件的应急处置。</w:t>
      </w:r>
    </w:p>
    <w:p w14:paraId="3C9DF6DC">
      <w:pPr>
        <w:spacing w:line="348" w:lineRule="auto"/>
        <w:rPr>
          <w:rFonts w:ascii="宋体" w:hAnsi="宋体" w:eastAsia="宋体" w:cs="宋体"/>
          <w:sz w:val="24"/>
          <w:szCs w:val="24"/>
        </w:rPr>
        <w:sectPr>
          <w:footerReference r:id="rId37" w:type="default"/>
          <w:pgSz w:w="11910" w:h="16850"/>
          <w:pgMar w:top="1432" w:right="1786" w:bottom="1387" w:left="1640" w:header="0" w:footer="1183" w:gutter="0"/>
          <w:cols w:space="720" w:num="1"/>
        </w:sectPr>
      </w:pPr>
    </w:p>
    <w:p w14:paraId="13A653FC">
      <w:pPr>
        <w:spacing w:before="114" w:line="219" w:lineRule="auto"/>
        <w:outlineLvl w:val="0"/>
        <w:rPr>
          <w:rFonts w:ascii="宋体" w:hAnsi="宋体" w:eastAsia="宋体" w:cs="宋体"/>
          <w:sz w:val="33"/>
          <w:szCs w:val="33"/>
        </w:rPr>
      </w:pPr>
      <w:bookmarkStart w:id="81" w:name="bookmark64"/>
      <w:bookmarkEnd w:id="81"/>
      <w:r>
        <w:rPr>
          <w:rFonts w:ascii="宋体" w:hAnsi="宋体" w:eastAsia="宋体" w:cs="宋体"/>
          <w:color w:val="506060"/>
          <w:spacing w:val="-16"/>
          <w:sz w:val="33"/>
          <w:szCs w:val="33"/>
        </w:rPr>
        <w:t>7</w:t>
      </w:r>
      <w:r>
        <w:rPr>
          <w:rFonts w:ascii="宋体" w:hAnsi="宋体" w:eastAsia="宋体" w:cs="宋体"/>
          <w:color w:val="506060"/>
          <w:spacing w:val="-75"/>
          <w:sz w:val="33"/>
          <w:szCs w:val="33"/>
        </w:rPr>
        <w:t xml:space="preserve"> </w:t>
      </w:r>
      <w:r>
        <w:rPr>
          <w:rFonts w:ascii="宋体" w:hAnsi="宋体" w:eastAsia="宋体" w:cs="宋体"/>
          <w:b/>
          <w:bCs/>
          <w:color w:val="506060"/>
          <w:spacing w:val="-16"/>
          <w:sz w:val="33"/>
          <w:szCs w:val="33"/>
        </w:rPr>
        <w:t>附则</w:t>
      </w:r>
    </w:p>
    <w:p w14:paraId="48B9F149">
      <w:pPr>
        <w:spacing w:before="239" w:line="219" w:lineRule="auto"/>
        <w:ind w:left="4"/>
        <w:outlineLvl w:val="1"/>
        <w:rPr>
          <w:rFonts w:ascii="宋体" w:hAnsi="宋体" w:eastAsia="宋体" w:cs="宋体"/>
          <w:sz w:val="28"/>
          <w:szCs w:val="28"/>
        </w:rPr>
      </w:pPr>
      <w:bookmarkStart w:id="82" w:name="bookmark65"/>
      <w:bookmarkEnd w:id="82"/>
      <w:r>
        <w:rPr>
          <w:rFonts w:ascii="宋体" w:hAnsi="宋体" w:eastAsia="宋体" w:cs="宋体"/>
          <w:b/>
          <w:bCs/>
          <w:color w:val="506060"/>
          <w:spacing w:val="-1"/>
          <w:sz w:val="28"/>
          <w:szCs w:val="28"/>
        </w:rPr>
        <w:t>7.1名词术语</w:t>
      </w:r>
    </w:p>
    <w:p w14:paraId="131982C4">
      <w:pPr>
        <w:spacing w:before="238" w:line="362" w:lineRule="auto"/>
        <w:ind w:right="89" w:firstLine="499"/>
        <w:rPr>
          <w:rFonts w:ascii="宋体" w:hAnsi="宋体" w:eastAsia="宋体" w:cs="宋体"/>
          <w:sz w:val="24"/>
          <w:szCs w:val="24"/>
        </w:rPr>
      </w:pPr>
      <w:r>
        <w:rPr>
          <w:rFonts w:ascii="宋体" w:hAnsi="宋体" w:eastAsia="宋体" w:cs="宋体"/>
          <w:color w:val="506060"/>
          <w:spacing w:val="-2"/>
          <w:sz w:val="24"/>
          <w:szCs w:val="24"/>
        </w:rPr>
        <w:t>集中式地表水饮用水水源地：指进入输水管网、送到用户且具有</w:t>
      </w:r>
      <w:r>
        <w:rPr>
          <w:rFonts w:ascii="宋体" w:hAnsi="宋体" w:eastAsia="宋体" w:cs="宋体"/>
          <w:color w:val="506060"/>
          <w:spacing w:val="-3"/>
          <w:sz w:val="24"/>
          <w:szCs w:val="24"/>
        </w:rPr>
        <w:t>一定取水规</w:t>
      </w:r>
      <w:r>
        <w:rPr>
          <w:rFonts w:ascii="宋体" w:hAnsi="宋体" w:eastAsia="宋体" w:cs="宋体"/>
          <w:color w:val="506060"/>
          <w:sz w:val="24"/>
          <w:szCs w:val="24"/>
        </w:rPr>
        <w:t xml:space="preserve"> </w:t>
      </w:r>
      <w:r>
        <w:rPr>
          <w:rFonts w:ascii="宋体" w:hAnsi="宋体" w:eastAsia="宋体" w:cs="宋体"/>
          <w:color w:val="506060"/>
          <w:spacing w:val="6"/>
          <w:sz w:val="24"/>
          <w:szCs w:val="24"/>
        </w:rPr>
        <w:t>模(供水人口一般大于1000 人)的在用、备用和规划的地表水饮用水水源地。</w:t>
      </w:r>
    </w:p>
    <w:p w14:paraId="5D66CE10">
      <w:pPr>
        <w:spacing w:before="1" w:line="355" w:lineRule="auto"/>
        <w:ind w:right="90" w:firstLine="499"/>
        <w:rPr>
          <w:rFonts w:ascii="宋体" w:hAnsi="宋体" w:eastAsia="宋体" w:cs="宋体"/>
          <w:sz w:val="24"/>
          <w:szCs w:val="24"/>
        </w:rPr>
      </w:pPr>
      <w:r>
        <w:rPr>
          <w:rFonts w:ascii="宋体" w:hAnsi="宋体" w:eastAsia="宋体" w:cs="宋体"/>
          <w:color w:val="506060"/>
          <w:spacing w:val="-2"/>
          <w:sz w:val="24"/>
          <w:szCs w:val="24"/>
        </w:rPr>
        <w:t>饮用水水源保护区：指国家为防治饮用水水源地污染、保障水</w:t>
      </w:r>
      <w:r>
        <w:rPr>
          <w:rFonts w:ascii="宋体" w:hAnsi="宋体" w:eastAsia="宋体" w:cs="宋体"/>
          <w:color w:val="506060"/>
          <w:spacing w:val="-3"/>
          <w:sz w:val="24"/>
          <w:szCs w:val="24"/>
        </w:rPr>
        <w:t>源地环境质量</w:t>
      </w:r>
      <w:r>
        <w:rPr>
          <w:rFonts w:ascii="宋体" w:hAnsi="宋体" w:eastAsia="宋体" w:cs="宋体"/>
          <w:color w:val="506060"/>
          <w:sz w:val="24"/>
          <w:szCs w:val="24"/>
        </w:rPr>
        <w:t xml:space="preserve"> </w:t>
      </w:r>
      <w:r>
        <w:rPr>
          <w:rFonts w:ascii="宋体" w:hAnsi="宋体" w:eastAsia="宋体" w:cs="宋体"/>
          <w:color w:val="506060"/>
          <w:spacing w:val="2"/>
          <w:sz w:val="24"/>
          <w:szCs w:val="24"/>
        </w:rPr>
        <w:t>而划定，并要求加以特殊保护的一定面积的</w:t>
      </w:r>
      <w:r>
        <w:rPr>
          <w:rFonts w:ascii="宋体" w:hAnsi="宋体" w:eastAsia="宋体" w:cs="宋体"/>
          <w:color w:val="506060"/>
          <w:spacing w:val="1"/>
          <w:sz w:val="24"/>
          <w:szCs w:val="24"/>
        </w:rPr>
        <w:t>水域和陆域。饮用水水源护区(以下</w:t>
      </w:r>
      <w:r>
        <w:rPr>
          <w:rFonts w:ascii="宋体" w:hAnsi="宋体" w:eastAsia="宋体" w:cs="宋体"/>
          <w:color w:val="506060"/>
          <w:sz w:val="24"/>
          <w:szCs w:val="24"/>
        </w:rPr>
        <w:t xml:space="preserve"> </w:t>
      </w:r>
      <w:r>
        <w:rPr>
          <w:rFonts w:ascii="宋体" w:hAnsi="宋体" w:eastAsia="宋体" w:cs="宋体"/>
          <w:color w:val="506060"/>
          <w:spacing w:val="2"/>
          <w:sz w:val="24"/>
          <w:szCs w:val="24"/>
        </w:rPr>
        <w:t>简称水源保护区)分为一级保护区和二级保</w:t>
      </w:r>
      <w:r>
        <w:rPr>
          <w:rFonts w:ascii="宋体" w:hAnsi="宋体" w:eastAsia="宋体" w:cs="宋体"/>
          <w:color w:val="506060"/>
          <w:spacing w:val="1"/>
          <w:sz w:val="24"/>
          <w:szCs w:val="24"/>
        </w:rPr>
        <w:t>护区，必要时可在水源保护区外划定</w:t>
      </w:r>
      <w:r>
        <w:rPr>
          <w:rFonts w:ascii="宋体" w:hAnsi="宋体" w:eastAsia="宋体" w:cs="宋体"/>
          <w:color w:val="506060"/>
          <w:sz w:val="24"/>
          <w:szCs w:val="24"/>
        </w:rPr>
        <w:t xml:space="preserve"> </w:t>
      </w:r>
      <w:r>
        <w:rPr>
          <w:rFonts w:ascii="宋体" w:hAnsi="宋体" w:eastAsia="宋体" w:cs="宋体"/>
          <w:color w:val="506060"/>
          <w:spacing w:val="-4"/>
          <w:sz w:val="24"/>
          <w:szCs w:val="24"/>
        </w:rPr>
        <w:t>准保护区。</w:t>
      </w:r>
    </w:p>
    <w:p w14:paraId="1831F900">
      <w:pPr>
        <w:spacing w:before="42" w:line="348" w:lineRule="auto"/>
        <w:ind w:right="88" w:firstLine="499"/>
        <w:rPr>
          <w:rFonts w:ascii="宋体" w:hAnsi="宋体" w:eastAsia="宋体" w:cs="宋体"/>
          <w:sz w:val="24"/>
          <w:szCs w:val="24"/>
        </w:rPr>
      </w:pPr>
      <w:r>
        <w:rPr>
          <w:rFonts w:ascii="宋体" w:hAnsi="宋体" w:eastAsia="宋体" w:cs="宋体"/>
          <w:color w:val="506060"/>
          <w:spacing w:val="-2"/>
          <w:sz w:val="24"/>
          <w:szCs w:val="24"/>
        </w:rPr>
        <w:t>地表水饮用水水源地风险物质：指《地下水环境质量标准》中表1、表2</w:t>
      </w:r>
      <w:r>
        <w:rPr>
          <w:rFonts w:ascii="宋体" w:hAnsi="宋体" w:eastAsia="宋体" w:cs="宋体"/>
          <w:color w:val="506060"/>
          <w:spacing w:val="-3"/>
          <w:sz w:val="24"/>
          <w:szCs w:val="24"/>
        </w:rPr>
        <w:t>和表</w:t>
      </w:r>
      <w:r>
        <w:rPr>
          <w:rFonts w:ascii="宋体" w:hAnsi="宋体" w:eastAsia="宋体" w:cs="宋体"/>
          <w:color w:val="506060"/>
          <w:sz w:val="24"/>
          <w:szCs w:val="24"/>
        </w:rPr>
        <w:t xml:space="preserve"> 3所包含的项目与物质，</w:t>
      </w:r>
      <w:r>
        <w:rPr>
          <w:rFonts w:ascii="宋体" w:hAnsi="宋体" w:eastAsia="宋体" w:cs="宋体"/>
          <w:color w:val="606070"/>
          <w:sz w:val="24"/>
          <w:szCs w:val="24"/>
        </w:rPr>
        <w:t>以及该标准之外其他可能影响人体健康的项目与物质。</w:t>
      </w:r>
    </w:p>
    <w:p w14:paraId="08C8EDCA">
      <w:pPr>
        <w:spacing w:before="34" w:line="354" w:lineRule="auto"/>
        <w:ind w:firstLine="499"/>
        <w:rPr>
          <w:rFonts w:ascii="宋体" w:hAnsi="宋体" w:eastAsia="宋体" w:cs="宋体"/>
          <w:sz w:val="24"/>
          <w:szCs w:val="24"/>
        </w:rPr>
      </w:pPr>
      <w:r>
        <w:rPr>
          <w:rFonts w:ascii="宋体" w:hAnsi="宋体" w:eastAsia="宋体" w:cs="宋体"/>
          <w:color w:val="506060"/>
          <w:spacing w:val="-7"/>
          <w:sz w:val="24"/>
          <w:szCs w:val="24"/>
        </w:rPr>
        <w:t>饮用水水源地突发环境事件：指由于污染物排放或自然灾害、生产安全事故、</w:t>
      </w:r>
      <w:r>
        <w:rPr>
          <w:rFonts w:ascii="宋体" w:hAnsi="宋体" w:eastAsia="宋体" w:cs="宋体"/>
          <w:color w:val="506060"/>
          <w:spacing w:val="17"/>
          <w:sz w:val="24"/>
          <w:szCs w:val="24"/>
        </w:rPr>
        <w:t xml:space="preserve"> </w:t>
      </w:r>
      <w:r>
        <w:rPr>
          <w:rFonts w:ascii="宋体" w:hAnsi="宋体" w:eastAsia="宋体" w:cs="宋体"/>
          <w:color w:val="506060"/>
          <w:sz w:val="24"/>
          <w:szCs w:val="24"/>
        </w:rPr>
        <w:t>交通运输事故等因素，导致水源地风险物质进入水源保护区或其上游的连接水</w:t>
      </w:r>
      <w:r>
        <w:rPr>
          <w:rFonts w:ascii="宋体" w:hAnsi="宋体" w:eastAsia="宋体" w:cs="宋体"/>
          <w:color w:val="506060"/>
          <w:spacing w:val="3"/>
          <w:sz w:val="24"/>
          <w:szCs w:val="24"/>
        </w:rPr>
        <w:t xml:space="preserve">   </w:t>
      </w:r>
      <w:r>
        <w:rPr>
          <w:rFonts w:ascii="宋体" w:hAnsi="宋体" w:eastAsia="宋体" w:cs="宋体"/>
          <w:color w:val="606070"/>
          <w:spacing w:val="2"/>
          <w:sz w:val="24"/>
          <w:szCs w:val="24"/>
        </w:rPr>
        <w:t>体，突然造成或可能造成水源地水质超标，</w:t>
      </w:r>
      <w:r>
        <w:rPr>
          <w:rFonts w:ascii="宋体" w:hAnsi="宋体" w:eastAsia="宋体" w:cs="宋体"/>
          <w:color w:val="506060"/>
          <w:spacing w:val="2"/>
          <w:sz w:val="24"/>
          <w:szCs w:val="24"/>
        </w:rPr>
        <w:t>影响或可能影</w:t>
      </w:r>
      <w:r>
        <w:rPr>
          <w:rFonts w:ascii="宋体" w:hAnsi="宋体" w:eastAsia="宋体" w:cs="宋体"/>
          <w:color w:val="506060"/>
          <w:spacing w:val="1"/>
          <w:sz w:val="24"/>
          <w:szCs w:val="24"/>
        </w:rPr>
        <w:t>响饮用水供水单位(以</w:t>
      </w:r>
      <w:r>
        <w:rPr>
          <w:rFonts w:ascii="宋体" w:hAnsi="宋体" w:eastAsia="宋体" w:cs="宋体"/>
          <w:color w:val="506060"/>
          <w:sz w:val="24"/>
          <w:szCs w:val="24"/>
        </w:rPr>
        <w:t xml:space="preserve"> </w:t>
      </w:r>
      <w:r>
        <w:rPr>
          <w:rFonts w:ascii="宋体" w:hAnsi="宋体" w:eastAsia="宋体" w:cs="宋体"/>
          <w:color w:val="506060"/>
          <w:spacing w:val="1"/>
          <w:sz w:val="24"/>
          <w:szCs w:val="24"/>
        </w:rPr>
        <w:t>下简称供水单位)正常取水，危及公众身体健康和财产安全，需要采取紧急措施</w:t>
      </w:r>
    </w:p>
    <w:p w14:paraId="136E65E9">
      <w:pPr>
        <w:spacing w:before="1" w:line="219" w:lineRule="auto"/>
        <w:rPr>
          <w:rFonts w:ascii="宋体" w:hAnsi="宋体" w:eastAsia="宋体" w:cs="宋体"/>
          <w:sz w:val="24"/>
          <w:szCs w:val="24"/>
        </w:rPr>
      </w:pPr>
      <w:r>
        <w:rPr>
          <w:rFonts w:ascii="宋体" w:hAnsi="宋体" w:eastAsia="宋体" w:cs="宋体"/>
          <w:color w:val="306060"/>
          <w:spacing w:val="-3"/>
          <w:sz w:val="24"/>
          <w:szCs w:val="24"/>
        </w:rPr>
        <w:t>予以应对的事件。</w:t>
      </w:r>
    </w:p>
    <w:p w14:paraId="35F53A94">
      <w:pPr>
        <w:spacing w:before="204" w:line="364" w:lineRule="auto"/>
        <w:ind w:right="108" w:firstLine="499"/>
        <w:rPr>
          <w:rFonts w:ascii="宋体" w:hAnsi="宋体" w:eastAsia="宋体" w:cs="宋体"/>
          <w:sz w:val="24"/>
          <w:szCs w:val="24"/>
        </w:rPr>
      </w:pPr>
      <w:r>
        <w:rPr>
          <w:rFonts w:ascii="宋体" w:hAnsi="宋体" w:eastAsia="宋体" w:cs="宋体"/>
          <w:color w:val="506060"/>
          <w:spacing w:val="-3"/>
          <w:sz w:val="24"/>
          <w:szCs w:val="24"/>
        </w:rPr>
        <w:t>水质超标：指水源地水质超过《地下水环境质量标准》规定的Ⅲ类水质标准</w:t>
      </w:r>
      <w:r>
        <w:rPr>
          <w:rFonts w:ascii="宋体" w:hAnsi="宋体" w:eastAsia="宋体" w:cs="宋体"/>
          <w:color w:val="506060"/>
          <w:spacing w:val="9"/>
          <w:sz w:val="24"/>
          <w:szCs w:val="24"/>
        </w:rPr>
        <w:t xml:space="preserve"> </w:t>
      </w:r>
      <w:r>
        <w:rPr>
          <w:rFonts w:ascii="宋体" w:hAnsi="宋体" w:eastAsia="宋体" w:cs="宋体"/>
          <w:color w:val="506060"/>
          <w:spacing w:val="-2"/>
          <w:sz w:val="24"/>
          <w:szCs w:val="24"/>
        </w:rPr>
        <w:t>或标准限值的要求。</w:t>
      </w:r>
    </w:p>
    <w:p w14:paraId="443277DC">
      <w:pPr>
        <w:spacing w:before="4" w:line="358" w:lineRule="auto"/>
        <w:ind w:right="67" w:firstLine="519"/>
        <w:jc w:val="both"/>
        <w:rPr>
          <w:rFonts w:ascii="宋体" w:hAnsi="宋体" w:eastAsia="宋体" w:cs="宋体"/>
          <w:sz w:val="24"/>
          <w:szCs w:val="24"/>
        </w:rPr>
      </w:pPr>
      <w:r>
        <w:rPr>
          <w:rFonts w:ascii="宋体" w:hAnsi="宋体" w:eastAsia="宋体" w:cs="宋体"/>
          <w:color w:val="506060"/>
          <w:spacing w:val="-2"/>
          <w:sz w:val="24"/>
          <w:szCs w:val="24"/>
        </w:rPr>
        <w:t>《地表水环境质量标准》未包括的项目，可根据物质本身的危害</w:t>
      </w:r>
      <w:r>
        <w:rPr>
          <w:rFonts w:ascii="宋体" w:hAnsi="宋体" w:eastAsia="宋体" w:cs="宋体"/>
          <w:color w:val="506060"/>
          <w:spacing w:val="-3"/>
          <w:sz w:val="24"/>
          <w:szCs w:val="24"/>
        </w:rPr>
        <w:t>特性和有关</w:t>
      </w:r>
      <w:r>
        <w:rPr>
          <w:rFonts w:ascii="宋体" w:hAnsi="宋体" w:eastAsia="宋体" w:cs="宋体"/>
          <w:color w:val="506060"/>
          <w:sz w:val="24"/>
          <w:szCs w:val="24"/>
        </w:rPr>
        <w:t xml:space="preserve"> </w:t>
      </w:r>
      <w:r>
        <w:rPr>
          <w:rFonts w:ascii="宋体" w:hAnsi="宋体" w:eastAsia="宋体" w:cs="宋体"/>
          <w:color w:val="506060"/>
          <w:spacing w:val="-1"/>
          <w:sz w:val="24"/>
          <w:szCs w:val="24"/>
        </w:rPr>
        <w:t>供水单位的净化能力，</w:t>
      </w:r>
      <w:r>
        <w:rPr>
          <w:rFonts w:ascii="宋体" w:hAnsi="宋体" w:eastAsia="宋体" w:cs="宋体"/>
          <w:color w:val="606070"/>
          <w:spacing w:val="-1"/>
          <w:sz w:val="24"/>
          <w:szCs w:val="24"/>
        </w:rPr>
        <w:t>参考国外有关标准(如世界卫生组织、美国环境保护署等)</w:t>
      </w:r>
      <w:r>
        <w:rPr>
          <w:rFonts w:ascii="宋体" w:hAnsi="宋体" w:eastAsia="宋体" w:cs="宋体"/>
          <w:color w:val="606070"/>
          <w:spacing w:val="7"/>
          <w:sz w:val="24"/>
          <w:szCs w:val="24"/>
        </w:rPr>
        <w:t xml:space="preserve"> </w:t>
      </w:r>
      <w:r>
        <w:rPr>
          <w:rFonts w:ascii="宋体" w:hAnsi="宋体" w:eastAsia="宋体" w:cs="宋体"/>
          <w:color w:val="506060"/>
          <w:spacing w:val="-3"/>
          <w:sz w:val="24"/>
          <w:szCs w:val="24"/>
        </w:rPr>
        <w:t>规定的浓度值，由市、县级人民政府组织</w:t>
      </w:r>
      <w:r>
        <w:rPr>
          <w:rFonts w:ascii="宋体" w:hAnsi="宋体" w:eastAsia="宋体" w:cs="宋体"/>
          <w:color w:val="606070"/>
          <w:spacing w:val="-3"/>
          <w:sz w:val="24"/>
          <w:szCs w:val="24"/>
        </w:rPr>
        <w:t>有关部门会商或依据应急专家组意见确</w:t>
      </w:r>
      <w:r>
        <w:rPr>
          <w:rFonts w:ascii="宋体" w:hAnsi="宋体" w:eastAsia="宋体" w:cs="宋体"/>
          <w:color w:val="606070"/>
          <w:spacing w:val="3"/>
          <w:sz w:val="24"/>
          <w:szCs w:val="24"/>
        </w:rPr>
        <w:t xml:space="preserve"> </w:t>
      </w:r>
      <w:r>
        <w:rPr>
          <w:rFonts w:ascii="宋体" w:hAnsi="宋体" w:eastAsia="宋体" w:cs="宋体"/>
          <w:color w:val="506060"/>
          <w:spacing w:val="-8"/>
          <w:sz w:val="24"/>
          <w:szCs w:val="24"/>
        </w:rPr>
        <w:t>定。</w:t>
      </w:r>
    </w:p>
    <w:p w14:paraId="16B725A2">
      <w:pPr>
        <w:spacing w:before="57" w:line="219" w:lineRule="auto"/>
        <w:outlineLvl w:val="1"/>
        <w:rPr>
          <w:rFonts w:ascii="宋体" w:hAnsi="宋体" w:eastAsia="宋体" w:cs="宋体"/>
          <w:sz w:val="28"/>
          <w:szCs w:val="28"/>
        </w:rPr>
      </w:pPr>
      <w:bookmarkStart w:id="83" w:name="bookmark66"/>
      <w:bookmarkEnd w:id="83"/>
      <w:r>
        <w:rPr>
          <w:rFonts w:ascii="宋体" w:hAnsi="宋体" w:eastAsia="宋体" w:cs="宋体"/>
          <w:color w:val="506060"/>
          <w:spacing w:val="1"/>
          <w:sz w:val="28"/>
          <w:szCs w:val="28"/>
        </w:rPr>
        <w:t>7.</w:t>
      </w:r>
      <w:r>
        <w:rPr>
          <w:rFonts w:ascii="宋体" w:hAnsi="宋体" w:eastAsia="宋体" w:cs="宋体"/>
          <w:b/>
          <w:bCs/>
          <w:color w:val="506060"/>
          <w:spacing w:val="1"/>
          <w:sz w:val="28"/>
          <w:szCs w:val="28"/>
        </w:rPr>
        <w:t>2预案解释权属</w:t>
      </w:r>
    </w:p>
    <w:p w14:paraId="53268AEE">
      <w:pPr>
        <w:spacing w:before="238" w:line="219" w:lineRule="auto"/>
        <w:ind w:left="499"/>
        <w:rPr>
          <w:rFonts w:ascii="宋体" w:hAnsi="宋体" w:eastAsia="宋体" w:cs="宋体"/>
          <w:sz w:val="24"/>
          <w:szCs w:val="24"/>
        </w:rPr>
      </w:pPr>
      <w:r>
        <w:rPr>
          <w:rFonts w:ascii="宋体" w:hAnsi="宋体" w:eastAsia="宋体" w:cs="宋体"/>
          <w:color w:val="506060"/>
          <w:spacing w:val="-1"/>
          <w:sz w:val="24"/>
          <w:szCs w:val="24"/>
        </w:rPr>
        <w:t>本预案由包头市生态环境局石拐区分局负责解释。</w:t>
      </w:r>
    </w:p>
    <w:p w14:paraId="48A662DD">
      <w:pPr>
        <w:spacing w:before="235" w:line="219" w:lineRule="auto"/>
        <w:outlineLvl w:val="1"/>
        <w:rPr>
          <w:rFonts w:ascii="宋体" w:hAnsi="宋体" w:eastAsia="宋体" w:cs="宋体"/>
          <w:sz w:val="28"/>
          <w:szCs w:val="28"/>
        </w:rPr>
      </w:pPr>
      <w:bookmarkStart w:id="84" w:name="bookmark67"/>
      <w:bookmarkEnd w:id="84"/>
      <w:r>
        <w:rPr>
          <w:rFonts w:ascii="宋体" w:hAnsi="宋体" w:eastAsia="宋体" w:cs="宋体"/>
          <w:color w:val="506060"/>
          <w:spacing w:val="1"/>
          <w:sz w:val="28"/>
          <w:szCs w:val="28"/>
        </w:rPr>
        <w:t>7.</w:t>
      </w:r>
      <w:r>
        <w:rPr>
          <w:rFonts w:ascii="宋体" w:hAnsi="宋体" w:eastAsia="宋体" w:cs="宋体"/>
          <w:b/>
          <w:bCs/>
          <w:color w:val="506060"/>
          <w:spacing w:val="1"/>
          <w:sz w:val="28"/>
          <w:szCs w:val="28"/>
        </w:rPr>
        <w:t>3预案演练和修订</w:t>
      </w:r>
    </w:p>
    <w:p w14:paraId="5FF034E6">
      <w:pPr>
        <w:spacing w:before="170" w:line="314" w:lineRule="auto"/>
        <w:ind w:right="79" w:firstLine="639"/>
        <w:rPr>
          <w:rFonts w:ascii="宋体" w:hAnsi="宋体" w:eastAsia="宋体" w:cs="宋体"/>
          <w:sz w:val="24"/>
          <w:szCs w:val="24"/>
        </w:rPr>
      </w:pPr>
      <w:r>
        <w:rPr>
          <w:rFonts w:ascii="宋体" w:hAnsi="宋体" w:eastAsia="宋体" w:cs="宋体"/>
          <w:color w:val="506060"/>
          <w:spacing w:val="5"/>
          <w:sz w:val="24"/>
          <w:szCs w:val="24"/>
        </w:rPr>
        <w:t>(1)石拐区人民政府应联合包头市生态环境局石拐区分局定</w:t>
      </w:r>
      <w:r>
        <w:rPr>
          <w:rFonts w:ascii="宋体" w:hAnsi="宋体" w:eastAsia="宋体" w:cs="宋体"/>
          <w:color w:val="506060"/>
          <w:spacing w:val="4"/>
          <w:sz w:val="24"/>
          <w:szCs w:val="24"/>
        </w:rPr>
        <w:t>期组织本地区</w:t>
      </w:r>
      <w:r>
        <w:rPr>
          <w:rFonts w:ascii="宋体" w:hAnsi="宋体" w:eastAsia="宋体" w:cs="宋体"/>
          <w:color w:val="506060"/>
          <w:sz w:val="24"/>
          <w:szCs w:val="24"/>
        </w:rPr>
        <w:t xml:space="preserve"> </w:t>
      </w:r>
      <w:r>
        <w:rPr>
          <w:rFonts w:ascii="宋体" w:hAnsi="宋体" w:eastAsia="宋体" w:cs="宋体"/>
          <w:color w:val="506060"/>
          <w:spacing w:val="-2"/>
          <w:sz w:val="24"/>
          <w:szCs w:val="24"/>
        </w:rPr>
        <w:t>突发环境事件应急预案演练，检验预案、磨合机制、锻炼队伍，提高突发环境事</w:t>
      </w:r>
      <w:r>
        <w:rPr>
          <w:rFonts w:ascii="宋体" w:hAnsi="宋体" w:eastAsia="宋体" w:cs="宋体"/>
          <w:color w:val="506060"/>
          <w:sz w:val="24"/>
          <w:szCs w:val="24"/>
        </w:rPr>
        <w:t xml:space="preserve"> 件的处置工作水平。</w:t>
      </w:r>
    </w:p>
    <w:p w14:paraId="7033AAF0">
      <w:pPr>
        <w:spacing w:before="174" w:line="219" w:lineRule="auto"/>
        <w:ind w:left="639"/>
        <w:rPr>
          <w:rFonts w:ascii="宋体" w:hAnsi="宋体" w:eastAsia="宋体" w:cs="宋体"/>
          <w:sz w:val="24"/>
          <w:szCs w:val="24"/>
        </w:rPr>
      </w:pPr>
      <w:r>
        <w:rPr>
          <w:rFonts w:ascii="宋体" w:hAnsi="宋体" w:eastAsia="宋体" w:cs="宋体"/>
          <w:color w:val="506060"/>
          <w:sz w:val="24"/>
          <w:szCs w:val="24"/>
        </w:rPr>
        <w:t>(2)</w:t>
      </w:r>
      <w:r>
        <w:rPr>
          <w:rFonts w:ascii="宋体" w:hAnsi="宋体" w:eastAsia="宋体" w:cs="宋体"/>
          <w:color w:val="506060"/>
          <w:spacing w:val="37"/>
          <w:sz w:val="24"/>
          <w:szCs w:val="24"/>
        </w:rPr>
        <w:t xml:space="preserve"> </w:t>
      </w:r>
      <w:r>
        <w:rPr>
          <w:rFonts w:ascii="宋体" w:hAnsi="宋体" w:eastAsia="宋体" w:cs="宋体"/>
          <w:color w:val="506060"/>
          <w:sz w:val="24"/>
          <w:szCs w:val="24"/>
        </w:rPr>
        <w:t>包头市生态环境局石拐区分局应加强突发环境事件应急预案和科普知</w:t>
      </w:r>
    </w:p>
    <w:p w14:paraId="7BF016E7">
      <w:pPr>
        <w:spacing w:line="219" w:lineRule="auto"/>
        <w:rPr>
          <w:rFonts w:ascii="宋体" w:hAnsi="宋体" w:eastAsia="宋体" w:cs="宋体"/>
          <w:sz w:val="24"/>
          <w:szCs w:val="24"/>
        </w:rPr>
        <w:sectPr>
          <w:footerReference r:id="rId38" w:type="default"/>
          <w:pgSz w:w="11910" w:h="16850"/>
          <w:pgMar w:top="1432" w:right="1769" w:bottom="1424" w:left="1700" w:header="0" w:footer="1289" w:gutter="0"/>
          <w:cols w:space="720" w:num="1"/>
        </w:sectPr>
      </w:pPr>
    </w:p>
    <w:p w14:paraId="3AF6C4A2">
      <w:pPr>
        <w:spacing w:before="106" w:line="219" w:lineRule="auto"/>
        <w:rPr>
          <w:rFonts w:ascii="宋体" w:hAnsi="宋体" w:eastAsia="宋体" w:cs="宋体"/>
          <w:sz w:val="24"/>
          <w:szCs w:val="24"/>
        </w:rPr>
      </w:pPr>
      <w:r>
        <w:rPr>
          <w:rFonts w:ascii="宋体" w:hAnsi="宋体" w:eastAsia="宋体" w:cs="宋体"/>
          <w:color w:val="506060"/>
          <w:sz w:val="24"/>
          <w:szCs w:val="24"/>
        </w:rPr>
        <w:t>识的宣传教育工作，增强公众的防范意识和自救互救能</w:t>
      </w:r>
      <w:r>
        <w:rPr>
          <w:rFonts w:ascii="宋体" w:hAnsi="宋体" w:eastAsia="宋体" w:cs="宋体"/>
          <w:color w:val="506060"/>
          <w:spacing w:val="-1"/>
          <w:sz w:val="24"/>
          <w:szCs w:val="24"/>
        </w:rPr>
        <w:t>力。</w:t>
      </w:r>
    </w:p>
    <w:p w14:paraId="3EE3C644">
      <w:pPr>
        <w:spacing w:before="205" w:line="350" w:lineRule="auto"/>
        <w:ind w:right="132" w:firstLine="610"/>
        <w:jc w:val="both"/>
        <w:rPr>
          <w:rFonts w:ascii="宋体" w:hAnsi="宋体" w:eastAsia="宋体" w:cs="宋体"/>
          <w:sz w:val="24"/>
          <w:szCs w:val="24"/>
        </w:rPr>
      </w:pPr>
      <w:r>
        <w:rPr>
          <w:rFonts w:ascii="宋体" w:hAnsi="宋体" w:eastAsia="宋体" w:cs="宋体"/>
          <w:color w:val="506060"/>
          <w:spacing w:val="5"/>
          <w:sz w:val="24"/>
          <w:szCs w:val="24"/>
        </w:rPr>
        <w:t>(3)本预案由包头水生态环境局石拐区分局局牵头制定和管理，报石拐区</w:t>
      </w:r>
      <w:r>
        <w:rPr>
          <w:rFonts w:ascii="宋体" w:hAnsi="宋体" w:eastAsia="宋体" w:cs="宋体"/>
          <w:color w:val="506060"/>
          <w:spacing w:val="4"/>
          <w:sz w:val="24"/>
          <w:szCs w:val="24"/>
        </w:rPr>
        <w:t xml:space="preserve"> </w:t>
      </w:r>
      <w:r>
        <w:rPr>
          <w:rFonts w:ascii="宋体" w:hAnsi="宋体" w:eastAsia="宋体" w:cs="宋体"/>
          <w:color w:val="506060"/>
          <w:spacing w:val="-2"/>
          <w:sz w:val="24"/>
          <w:szCs w:val="24"/>
        </w:rPr>
        <w:t>人民政府审批发布。根据实施中发现的</w:t>
      </w:r>
      <w:r>
        <w:rPr>
          <w:rFonts w:ascii="宋体" w:hAnsi="宋体" w:eastAsia="宋体" w:cs="宋体"/>
          <w:color w:val="606070"/>
          <w:spacing w:val="-2"/>
          <w:sz w:val="24"/>
          <w:szCs w:val="24"/>
        </w:rPr>
        <w:t>问题和出现的新情况，</w:t>
      </w:r>
      <w:r>
        <w:rPr>
          <w:rFonts w:ascii="宋体" w:hAnsi="宋体" w:eastAsia="宋体" w:cs="宋体"/>
          <w:color w:val="506060"/>
          <w:spacing w:val="-2"/>
          <w:sz w:val="24"/>
          <w:szCs w:val="24"/>
        </w:rPr>
        <w:t>及时组织石拐区人</w:t>
      </w:r>
      <w:r>
        <w:rPr>
          <w:rFonts w:ascii="宋体" w:hAnsi="宋体" w:eastAsia="宋体" w:cs="宋体"/>
          <w:color w:val="506060"/>
          <w:sz w:val="24"/>
          <w:szCs w:val="24"/>
        </w:rPr>
        <w:t xml:space="preserve"> </w:t>
      </w:r>
      <w:r>
        <w:rPr>
          <w:rFonts w:ascii="宋体" w:hAnsi="宋体" w:eastAsia="宋体" w:cs="宋体"/>
          <w:color w:val="506060"/>
          <w:spacing w:val="-2"/>
          <w:sz w:val="24"/>
          <w:szCs w:val="24"/>
        </w:rPr>
        <w:t>民政府有关部门、有关专家进行评估，修订</w:t>
      </w:r>
      <w:r>
        <w:rPr>
          <w:rFonts w:ascii="宋体" w:hAnsi="宋体" w:eastAsia="宋体" w:cs="宋体"/>
          <w:color w:val="506060"/>
          <w:spacing w:val="-3"/>
          <w:sz w:val="24"/>
          <w:szCs w:val="24"/>
        </w:rPr>
        <w:t>完善本预案。本预案报包头市应急指</w:t>
      </w:r>
      <w:r>
        <w:rPr>
          <w:rFonts w:ascii="宋体" w:hAnsi="宋体" w:eastAsia="宋体" w:cs="宋体"/>
          <w:color w:val="506060"/>
          <w:sz w:val="24"/>
          <w:szCs w:val="24"/>
        </w:rPr>
        <w:t xml:space="preserve"> </w:t>
      </w:r>
      <w:r>
        <w:rPr>
          <w:rFonts w:ascii="宋体" w:hAnsi="宋体" w:eastAsia="宋体" w:cs="宋体"/>
          <w:color w:val="506060"/>
          <w:spacing w:val="1"/>
          <w:sz w:val="24"/>
          <w:szCs w:val="24"/>
        </w:rPr>
        <w:t>挥部办公室备案。</w:t>
      </w:r>
    </w:p>
    <w:p w14:paraId="644D6B68">
      <w:pPr>
        <w:spacing w:before="179" w:line="220" w:lineRule="auto"/>
        <w:outlineLvl w:val="1"/>
        <w:rPr>
          <w:rFonts w:ascii="宋体" w:hAnsi="宋体" w:eastAsia="宋体" w:cs="宋体"/>
          <w:sz w:val="28"/>
          <w:szCs w:val="28"/>
        </w:rPr>
      </w:pPr>
      <w:bookmarkStart w:id="85" w:name="bookmark68"/>
      <w:bookmarkEnd w:id="85"/>
      <w:r>
        <w:rPr>
          <w:rFonts w:ascii="宋体" w:hAnsi="宋体" w:eastAsia="宋体" w:cs="宋体"/>
          <w:color w:val="507060"/>
          <w:spacing w:val="1"/>
          <w:sz w:val="28"/>
          <w:szCs w:val="28"/>
        </w:rPr>
        <w:t>7.</w:t>
      </w:r>
      <w:r>
        <w:rPr>
          <w:rFonts w:ascii="宋体" w:hAnsi="宋体" w:eastAsia="宋体" w:cs="宋体"/>
          <w:b/>
          <w:bCs/>
          <w:color w:val="507060"/>
          <w:spacing w:val="1"/>
          <w:sz w:val="28"/>
          <w:szCs w:val="28"/>
        </w:rPr>
        <w:t>4预案实施日期</w:t>
      </w:r>
    </w:p>
    <w:p w14:paraId="6EF6B30C">
      <w:pPr>
        <w:spacing w:before="216" w:line="219" w:lineRule="auto"/>
        <w:ind w:left="489"/>
        <w:rPr>
          <w:rFonts w:ascii="宋体" w:hAnsi="宋体" w:eastAsia="宋体" w:cs="宋体"/>
          <w:sz w:val="24"/>
          <w:szCs w:val="24"/>
        </w:rPr>
      </w:pPr>
      <w:r>
        <w:rPr>
          <w:rFonts w:ascii="宋体" w:hAnsi="宋体" w:eastAsia="宋体" w:cs="宋体"/>
          <w:color w:val="506060"/>
          <w:spacing w:val="-2"/>
          <w:sz w:val="24"/>
          <w:szCs w:val="24"/>
        </w:rPr>
        <w:t>本预案自印发之日起实施。</w:t>
      </w:r>
    </w:p>
    <w:p w14:paraId="7D49674A">
      <w:pPr>
        <w:spacing w:before="193" w:line="219" w:lineRule="auto"/>
        <w:outlineLvl w:val="0"/>
        <w:rPr>
          <w:rFonts w:ascii="宋体" w:hAnsi="宋体" w:eastAsia="宋体" w:cs="宋体"/>
          <w:sz w:val="33"/>
          <w:szCs w:val="33"/>
        </w:rPr>
      </w:pPr>
      <w:bookmarkStart w:id="86" w:name="bookmark69"/>
      <w:bookmarkEnd w:id="86"/>
      <w:r>
        <w:rPr>
          <w:rFonts w:ascii="宋体" w:hAnsi="宋体" w:eastAsia="宋体" w:cs="宋体"/>
          <w:color w:val="506060"/>
          <w:spacing w:val="4"/>
          <w:sz w:val="33"/>
          <w:szCs w:val="33"/>
        </w:rPr>
        <w:t>8</w:t>
      </w:r>
      <w:r>
        <w:rPr>
          <w:rFonts w:ascii="宋体" w:hAnsi="宋体" w:eastAsia="宋体" w:cs="宋体"/>
          <w:b/>
          <w:bCs/>
          <w:color w:val="506060"/>
          <w:spacing w:val="4"/>
          <w:sz w:val="33"/>
          <w:szCs w:val="33"/>
        </w:rPr>
        <w:t>附件</w:t>
      </w:r>
    </w:p>
    <w:p w14:paraId="7A6AB27F">
      <w:pPr>
        <w:spacing w:before="241" w:line="276" w:lineRule="auto"/>
        <w:ind w:left="859" w:right="244" w:hanging="370"/>
        <w:rPr>
          <w:rFonts w:ascii="宋体" w:hAnsi="宋体" w:eastAsia="宋体" w:cs="宋体"/>
          <w:sz w:val="24"/>
          <w:szCs w:val="24"/>
        </w:rPr>
      </w:pPr>
      <w:r>
        <w:rPr>
          <w:rFonts w:ascii="宋体" w:hAnsi="宋体" w:eastAsia="宋体" w:cs="宋体"/>
          <w:color w:val="506060"/>
          <w:spacing w:val="2"/>
          <w:sz w:val="24"/>
          <w:szCs w:val="24"/>
        </w:rPr>
        <w:t>1、   包头市石拐区集中式饮用水水源地突发性环</w:t>
      </w:r>
      <w:r>
        <w:rPr>
          <w:rFonts w:ascii="宋体" w:hAnsi="宋体" w:eastAsia="宋体" w:cs="宋体"/>
          <w:color w:val="506060"/>
          <w:spacing w:val="1"/>
          <w:sz w:val="24"/>
          <w:szCs w:val="24"/>
        </w:rPr>
        <w:t>境事件应急响应工作路</w:t>
      </w:r>
      <w:r>
        <w:rPr>
          <w:rFonts w:ascii="宋体" w:hAnsi="宋体" w:eastAsia="宋体" w:cs="宋体"/>
          <w:color w:val="506060"/>
          <w:sz w:val="24"/>
          <w:szCs w:val="24"/>
        </w:rPr>
        <w:t xml:space="preserve"> </w:t>
      </w:r>
      <w:r>
        <w:rPr>
          <w:rFonts w:ascii="宋体" w:hAnsi="宋体" w:eastAsia="宋体" w:cs="宋体"/>
          <w:color w:val="506060"/>
          <w:spacing w:val="-7"/>
          <w:sz w:val="24"/>
          <w:szCs w:val="24"/>
        </w:rPr>
        <w:t>线；</w:t>
      </w:r>
    </w:p>
    <w:p w14:paraId="516FB96F">
      <w:pPr>
        <w:spacing w:before="191" w:line="219" w:lineRule="auto"/>
        <w:ind w:left="489"/>
        <w:rPr>
          <w:rFonts w:ascii="宋体" w:hAnsi="宋体" w:eastAsia="宋体" w:cs="宋体"/>
          <w:sz w:val="24"/>
          <w:szCs w:val="24"/>
        </w:rPr>
      </w:pPr>
      <w:r>
        <w:rPr>
          <w:rFonts w:ascii="宋体" w:hAnsi="宋体" w:eastAsia="宋体" w:cs="宋体"/>
          <w:color w:val="506060"/>
          <w:spacing w:val="-3"/>
          <w:sz w:val="24"/>
          <w:szCs w:val="24"/>
        </w:rPr>
        <w:t>2、</w:t>
      </w:r>
      <w:r>
        <w:rPr>
          <w:rFonts w:ascii="宋体" w:hAnsi="宋体" w:eastAsia="宋体" w:cs="宋体"/>
          <w:color w:val="506060"/>
          <w:spacing w:val="28"/>
          <w:sz w:val="24"/>
          <w:szCs w:val="24"/>
        </w:rPr>
        <w:t xml:space="preserve">   </w:t>
      </w:r>
      <w:r>
        <w:rPr>
          <w:rFonts w:ascii="宋体" w:hAnsi="宋体" w:eastAsia="宋体" w:cs="宋体"/>
          <w:color w:val="506060"/>
          <w:spacing w:val="-3"/>
          <w:sz w:val="24"/>
          <w:szCs w:val="24"/>
        </w:rPr>
        <w:t>应急组织机构成员单位及联系方式；</w:t>
      </w:r>
    </w:p>
    <w:p w14:paraId="7090F918">
      <w:pPr>
        <w:spacing w:before="177" w:line="292" w:lineRule="auto"/>
        <w:ind w:left="859" w:right="220" w:hanging="370"/>
        <w:rPr>
          <w:rFonts w:ascii="宋体" w:hAnsi="宋体" w:eastAsia="宋体" w:cs="宋体"/>
          <w:sz w:val="24"/>
          <w:szCs w:val="24"/>
        </w:rPr>
      </w:pPr>
      <w:r>
        <w:rPr>
          <w:rFonts w:ascii="Times New Roman" w:hAnsi="Times New Roman" w:eastAsia="Times New Roman" w:cs="Times New Roman"/>
          <w:color w:val="506060"/>
          <w:spacing w:val="-1"/>
          <w:sz w:val="24"/>
          <w:szCs w:val="24"/>
        </w:rPr>
        <w:t>3</w:t>
      </w:r>
      <w:r>
        <w:rPr>
          <w:rFonts w:ascii="Times New Roman" w:hAnsi="Times New Roman" w:eastAsia="Times New Roman" w:cs="Times New Roman"/>
          <w:color w:val="506060"/>
          <w:spacing w:val="-17"/>
          <w:sz w:val="24"/>
          <w:szCs w:val="24"/>
        </w:rPr>
        <w:t xml:space="preserve"> </w:t>
      </w:r>
      <w:r>
        <w:rPr>
          <w:rFonts w:ascii="宋体" w:hAnsi="宋体" w:eastAsia="宋体" w:cs="宋体"/>
          <w:color w:val="506060"/>
          <w:spacing w:val="-1"/>
          <w:sz w:val="24"/>
          <w:szCs w:val="24"/>
        </w:rPr>
        <w:t>、</w:t>
      </w:r>
      <w:r>
        <w:rPr>
          <w:rFonts w:ascii="宋体" w:hAnsi="宋体" w:eastAsia="宋体" w:cs="宋体"/>
          <w:color w:val="506060"/>
          <w:spacing w:val="23"/>
          <w:sz w:val="24"/>
          <w:szCs w:val="24"/>
        </w:rPr>
        <w:t xml:space="preserve">   </w:t>
      </w:r>
      <w:r>
        <w:rPr>
          <w:rFonts w:ascii="宋体" w:hAnsi="宋体" w:eastAsia="宋体" w:cs="宋体"/>
          <w:color w:val="506060"/>
          <w:spacing w:val="-1"/>
          <w:sz w:val="24"/>
          <w:szCs w:val="24"/>
        </w:rPr>
        <w:t>包头市石拐区集中式饮用水水源地突发性环境事件专家咨询组成员</w:t>
      </w:r>
      <w:r>
        <w:rPr>
          <w:rFonts w:ascii="宋体" w:hAnsi="宋体" w:eastAsia="宋体" w:cs="宋体"/>
          <w:color w:val="506060"/>
          <w:spacing w:val="1"/>
          <w:sz w:val="24"/>
          <w:szCs w:val="24"/>
        </w:rPr>
        <w:t xml:space="preserve"> </w:t>
      </w:r>
      <w:r>
        <w:rPr>
          <w:rFonts w:ascii="宋体" w:hAnsi="宋体" w:eastAsia="宋体" w:cs="宋体"/>
          <w:color w:val="506060"/>
          <w:spacing w:val="-6"/>
          <w:sz w:val="24"/>
          <w:szCs w:val="24"/>
        </w:rPr>
        <w:t>及联系方式；</w:t>
      </w:r>
    </w:p>
    <w:p w14:paraId="5C279E9B">
      <w:pPr>
        <w:spacing w:line="292" w:lineRule="auto"/>
        <w:rPr>
          <w:rFonts w:ascii="宋体" w:hAnsi="宋体" w:eastAsia="宋体" w:cs="宋体"/>
          <w:sz w:val="24"/>
          <w:szCs w:val="24"/>
        </w:rPr>
        <w:sectPr>
          <w:footerReference r:id="rId39" w:type="default"/>
          <w:pgSz w:w="11910" w:h="16850"/>
          <w:pgMar w:top="1432" w:right="1786" w:bottom="1377" w:left="1650" w:header="0" w:footer="1173" w:gutter="0"/>
          <w:cols w:space="720" w:num="1"/>
        </w:sectPr>
      </w:pPr>
    </w:p>
    <w:p w14:paraId="7E2066D8">
      <w:pPr>
        <w:spacing w:before="73" w:line="219" w:lineRule="auto"/>
        <w:rPr>
          <w:rFonts w:ascii="宋体" w:hAnsi="宋体" w:eastAsia="宋体" w:cs="宋体"/>
          <w:sz w:val="26"/>
          <w:szCs w:val="26"/>
        </w:rPr>
      </w:pPr>
      <w:r>
        <w:rPr>
          <w:rFonts w:ascii="宋体" w:hAnsi="宋体" w:eastAsia="宋体" w:cs="宋体"/>
          <w:spacing w:val="-21"/>
          <w:sz w:val="26"/>
          <w:szCs w:val="26"/>
        </w:rPr>
        <w:t>附件一：</w:t>
      </w:r>
      <w:r>
        <w:rPr>
          <w:rFonts w:ascii="宋体" w:hAnsi="宋体" w:eastAsia="宋体" w:cs="宋体"/>
          <w:b/>
          <w:bCs/>
          <w:spacing w:val="-21"/>
          <w:sz w:val="26"/>
          <w:szCs w:val="26"/>
        </w:rPr>
        <w:t>包头市石拐区集中式饮用水水源地突发性环境事件应急响应工作路线</w:t>
      </w:r>
    </w:p>
    <w:p w14:paraId="2C67DC3D">
      <w:pPr>
        <w:spacing w:line="285" w:lineRule="auto"/>
        <w:rPr>
          <w:rFonts w:ascii="Arial"/>
          <w:sz w:val="21"/>
        </w:rPr>
      </w:pPr>
    </w:p>
    <w:p w14:paraId="4947CFEE">
      <w:pPr>
        <w:spacing w:line="286" w:lineRule="auto"/>
        <w:rPr>
          <w:rFonts w:ascii="Arial"/>
          <w:sz w:val="21"/>
        </w:rPr>
      </w:pPr>
    </w:p>
    <w:p w14:paraId="7D6DBABE">
      <w:pPr>
        <w:spacing w:before="85" w:line="221" w:lineRule="auto"/>
        <w:ind w:left="4199"/>
        <w:rPr>
          <w:rFonts w:ascii="宋体" w:hAnsi="宋体" w:eastAsia="宋体" w:cs="宋体"/>
          <w:sz w:val="26"/>
          <w:szCs w:val="26"/>
        </w:rPr>
      </w:pPr>
      <w:r>
        <w:drawing>
          <wp:anchor distT="0" distB="0" distL="0" distR="0" simplePos="0" relativeHeight="251659264" behindDoc="1" locked="0" layoutInCell="1" allowOverlap="1">
            <wp:simplePos x="0" y="0"/>
            <wp:positionH relativeFrom="column">
              <wp:posOffset>139065</wp:posOffset>
            </wp:positionH>
            <wp:positionV relativeFrom="paragraph">
              <wp:posOffset>-144780</wp:posOffset>
            </wp:positionV>
            <wp:extent cx="5607050" cy="82105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5607021" cy="8210559"/>
                    </a:xfrm>
                    <a:prstGeom prst="rect">
                      <a:avLst/>
                    </a:prstGeom>
                  </pic:spPr>
                </pic:pic>
              </a:graphicData>
            </a:graphic>
          </wp:anchor>
        </w:drawing>
      </w:r>
      <w:r>
        <w:rPr>
          <w:rFonts w:ascii="宋体" w:hAnsi="宋体" w:eastAsia="宋体" w:cs="宋体"/>
          <w:spacing w:val="-8"/>
          <w:sz w:val="26"/>
          <w:szCs w:val="26"/>
        </w:rPr>
        <w:t>应急响应</w:t>
      </w:r>
    </w:p>
    <w:p w14:paraId="3F84EA1E">
      <w:pPr>
        <w:spacing w:line="245" w:lineRule="auto"/>
        <w:rPr>
          <w:rFonts w:ascii="Arial"/>
          <w:sz w:val="21"/>
        </w:rPr>
      </w:pPr>
    </w:p>
    <w:p w14:paraId="633F4E8B">
      <w:pPr>
        <w:spacing w:line="245" w:lineRule="auto"/>
        <w:rPr>
          <w:rFonts w:ascii="Arial"/>
          <w:sz w:val="21"/>
        </w:rPr>
      </w:pPr>
    </w:p>
    <w:p w14:paraId="3024C225">
      <w:pPr>
        <w:spacing w:line="245" w:lineRule="auto"/>
        <w:rPr>
          <w:rFonts w:ascii="Arial"/>
          <w:sz w:val="21"/>
        </w:rPr>
      </w:pPr>
    </w:p>
    <w:p w14:paraId="3676D45A">
      <w:pPr>
        <w:spacing w:before="85" w:line="225" w:lineRule="auto"/>
        <w:ind w:left="2419"/>
        <w:rPr>
          <w:rFonts w:ascii="宋体" w:hAnsi="宋体" w:eastAsia="宋体" w:cs="宋体"/>
          <w:sz w:val="26"/>
          <w:szCs w:val="26"/>
        </w:rPr>
      </w:pPr>
      <w:r>
        <w:pict>
          <v:shape id="_x0000_s1026" o:spid="_x0000_s1026" o:spt="202" type="#_x0000_t202" style="position:absolute;left:0pt;margin-left:17.95pt;margin-top:9.85pt;height:41.05pt;width:32.4pt;z-index:251661312;mso-width-relative:page;mso-height-relative:page;" filled="f" stroked="f" coordsize="21600,21600">
            <v:path/>
            <v:fill on="f" focussize="0,0"/>
            <v:stroke on="f"/>
            <v:imagedata o:title=""/>
            <o:lock v:ext="edit" aspectratio="f"/>
            <v:textbox inset="0mm,0mm,0mm,0mm">
              <w:txbxContent>
                <w:p w14:paraId="4C81905C">
                  <w:pPr>
                    <w:spacing w:before="21" w:line="238" w:lineRule="auto"/>
                    <w:ind w:left="20" w:right="20"/>
                    <w:rPr>
                      <w:rFonts w:ascii="宋体" w:hAnsi="宋体" w:eastAsia="宋体" w:cs="宋体"/>
                      <w:sz w:val="31"/>
                      <w:szCs w:val="31"/>
                    </w:rPr>
                  </w:pPr>
                  <w:r>
                    <w:rPr>
                      <w:rFonts w:ascii="宋体" w:hAnsi="宋体" w:eastAsia="宋体" w:cs="宋体"/>
                      <w:spacing w:val="-7"/>
                      <w:sz w:val="31"/>
                      <w:szCs w:val="31"/>
                    </w:rPr>
                    <w:t>信息</w:t>
                  </w:r>
                  <w:r>
                    <w:rPr>
                      <w:rFonts w:ascii="宋体" w:hAnsi="宋体" w:eastAsia="宋体" w:cs="宋体"/>
                      <w:sz w:val="31"/>
                      <w:szCs w:val="31"/>
                    </w:rPr>
                    <w:t xml:space="preserve"> </w:t>
                  </w:r>
                  <w:r>
                    <w:rPr>
                      <w:rFonts w:ascii="宋体" w:hAnsi="宋体" w:eastAsia="宋体" w:cs="宋体"/>
                      <w:spacing w:val="-7"/>
                      <w:sz w:val="31"/>
                      <w:szCs w:val="31"/>
                    </w:rPr>
                    <w:t>研判</w:t>
                  </w:r>
                </w:p>
              </w:txbxContent>
            </v:textbox>
          </v:shape>
        </w:pict>
      </w:r>
      <w:r>
        <w:rPr>
          <w:rFonts w:ascii="宋体" w:hAnsi="宋体" w:eastAsia="宋体" w:cs="宋体"/>
          <w:spacing w:val="-4"/>
          <w:position w:val="-1"/>
          <w:sz w:val="24"/>
          <w:szCs w:val="24"/>
        </w:rPr>
        <w:t>事件报告</w:t>
      </w:r>
      <w:r>
        <w:rPr>
          <w:rFonts w:ascii="宋体" w:hAnsi="宋体" w:eastAsia="宋体" w:cs="宋体"/>
          <w:spacing w:val="16"/>
          <w:position w:val="-1"/>
          <w:sz w:val="24"/>
          <w:szCs w:val="24"/>
        </w:rPr>
        <w:t xml:space="preserve">     </w:t>
      </w:r>
      <w:r>
        <w:rPr>
          <w:rFonts w:ascii="宋体" w:hAnsi="宋体" w:eastAsia="宋体" w:cs="宋体"/>
          <w:color w:val="606070"/>
          <w:spacing w:val="-4"/>
          <w:sz w:val="26"/>
          <w:szCs w:val="26"/>
        </w:rPr>
        <w:t>风险源监控</w:t>
      </w:r>
      <w:r>
        <w:rPr>
          <w:rFonts w:ascii="宋体" w:hAnsi="宋体" w:eastAsia="宋体" w:cs="宋体"/>
          <w:color w:val="606070"/>
          <w:spacing w:val="6"/>
          <w:sz w:val="26"/>
          <w:szCs w:val="26"/>
        </w:rPr>
        <w:t xml:space="preserve">     </w:t>
      </w:r>
      <w:r>
        <w:rPr>
          <w:rFonts w:ascii="宋体" w:hAnsi="宋体" w:eastAsia="宋体" w:cs="宋体"/>
          <w:color w:val="606070"/>
          <w:spacing w:val="-4"/>
          <w:sz w:val="26"/>
          <w:szCs w:val="26"/>
        </w:rPr>
        <w:t>水质监测</w:t>
      </w:r>
    </w:p>
    <w:p w14:paraId="6232CCD4">
      <w:pPr>
        <w:spacing w:line="280" w:lineRule="auto"/>
        <w:rPr>
          <w:rFonts w:ascii="Arial"/>
          <w:sz w:val="21"/>
        </w:rPr>
      </w:pPr>
    </w:p>
    <w:p w14:paraId="585E9F6D">
      <w:pPr>
        <w:spacing w:line="281" w:lineRule="auto"/>
        <w:rPr>
          <w:rFonts w:ascii="Arial"/>
          <w:sz w:val="21"/>
        </w:rPr>
      </w:pPr>
    </w:p>
    <w:p w14:paraId="46B39EEB">
      <w:pPr>
        <w:spacing w:before="85" w:line="219" w:lineRule="auto"/>
        <w:ind w:left="4199"/>
        <w:rPr>
          <w:rFonts w:ascii="宋体" w:hAnsi="宋体" w:eastAsia="宋体" w:cs="宋体"/>
          <w:sz w:val="26"/>
          <w:szCs w:val="26"/>
        </w:rPr>
      </w:pPr>
      <w:r>
        <w:rPr>
          <w:rFonts w:ascii="宋体" w:hAnsi="宋体" w:eastAsia="宋体" w:cs="宋体"/>
          <w:spacing w:val="-7"/>
          <w:sz w:val="26"/>
          <w:szCs w:val="26"/>
        </w:rPr>
        <w:t>信息核实</w:t>
      </w:r>
    </w:p>
    <w:p w14:paraId="4A627434">
      <w:pPr>
        <w:spacing w:before="220" w:line="217" w:lineRule="auto"/>
        <w:ind w:left="3989"/>
        <w:rPr>
          <w:rFonts w:ascii="宋体" w:hAnsi="宋体" w:eastAsia="宋体" w:cs="宋体"/>
          <w:sz w:val="22"/>
          <w:szCs w:val="22"/>
        </w:rPr>
      </w:pPr>
      <w:r>
        <w:rPr>
          <w:rFonts w:ascii="宋体" w:hAnsi="宋体" w:eastAsia="宋体" w:cs="宋体"/>
          <w:spacing w:val="-9"/>
          <w:position w:val="-3"/>
          <w:sz w:val="22"/>
          <w:szCs w:val="22"/>
        </w:rPr>
        <w:t>属实</w:t>
      </w:r>
      <w:r>
        <w:rPr>
          <w:rFonts w:ascii="宋体" w:hAnsi="宋体" w:eastAsia="宋体" w:cs="宋体"/>
          <w:spacing w:val="29"/>
          <w:position w:val="-3"/>
          <w:sz w:val="22"/>
          <w:szCs w:val="22"/>
        </w:rPr>
        <w:t xml:space="preserve">   </w:t>
      </w:r>
      <w:r>
        <w:rPr>
          <w:rFonts w:ascii="宋体" w:hAnsi="宋体" w:eastAsia="宋体" w:cs="宋体"/>
          <w:spacing w:val="-9"/>
          <w:position w:val="1"/>
          <w:sz w:val="22"/>
          <w:szCs w:val="22"/>
        </w:rPr>
        <w:t>可能影响饮用</w:t>
      </w:r>
    </w:p>
    <w:p w14:paraId="4CCEC819">
      <w:pPr>
        <w:spacing w:before="1" w:line="234" w:lineRule="auto"/>
        <w:ind w:left="3989" w:right="3371" w:firstLine="840"/>
        <w:rPr>
          <w:rFonts w:ascii="宋体" w:hAnsi="宋体" w:eastAsia="宋体" w:cs="宋体"/>
          <w:sz w:val="26"/>
          <w:szCs w:val="26"/>
        </w:rPr>
      </w:pPr>
      <w:r>
        <w:pict>
          <v:shape id="_x0000_s1027" o:spid="_x0000_s1027" o:spt="202" type="#_x0000_t202" style="position:absolute;left:0pt;margin-left:312.45pt;margin-top:9pt;height:31pt;width:51.85pt;z-index:251660288;mso-width-relative:page;mso-height-relative:page;" filled="f" stroked="f" coordsize="21600,21600">
            <v:path/>
            <v:fill on="f" focussize="0,0"/>
            <v:stroke on="f"/>
            <v:imagedata o:title=""/>
            <o:lock v:ext="edit" aspectratio="f"/>
            <v:textbox inset="0mm,0mm,0mm,0mm">
              <w:txbxContent>
                <w:p w14:paraId="5FD308F4">
                  <w:pPr>
                    <w:spacing w:before="20" w:line="218" w:lineRule="auto"/>
                    <w:ind w:left="150" w:right="20" w:hanging="130"/>
                    <w:rPr>
                      <w:rFonts w:ascii="宋体" w:hAnsi="宋体" w:eastAsia="宋体" w:cs="宋体"/>
                      <w:sz w:val="25"/>
                      <w:szCs w:val="25"/>
                    </w:rPr>
                  </w:pPr>
                  <w:r>
                    <w:rPr>
                      <w:rFonts w:ascii="宋体" w:hAnsi="宋体" w:eastAsia="宋体" w:cs="宋体"/>
                      <w:spacing w:val="9"/>
                      <w:sz w:val="24"/>
                      <w:szCs w:val="24"/>
                    </w:rPr>
                    <w:t>信息报告</w:t>
                  </w:r>
                  <w:r>
                    <w:rPr>
                      <w:rFonts w:ascii="宋体" w:hAnsi="宋体" w:eastAsia="宋体" w:cs="宋体"/>
                      <w:sz w:val="24"/>
                      <w:szCs w:val="24"/>
                    </w:rPr>
                    <w:t xml:space="preserve"> </w:t>
                  </w:r>
                  <w:r>
                    <w:rPr>
                      <w:rFonts w:ascii="宋体" w:hAnsi="宋体" w:eastAsia="宋体" w:cs="宋体"/>
                      <w:spacing w:val="-4"/>
                      <w:sz w:val="25"/>
                      <w:szCs w:val="25"/>
                    </w:rPr>
                    <w:t>与通报</w:t>
                  </w:r>
                </w:p>
              </w:txbxContent>
            </v:textbox>
          </v:shape>
        </w:pict>
      </w:r>
      <w:r>
        <w:pict>
          <v:shape id="_x0000_s1028" o:spid="_x0000_s1028" o:spt="202" type="#_x0000_t202" style="position:absolute;left:0pt;margin-left:393.95pt;margin-top:16.95pt;height:13.3pt;width:38.45pt;z-index:251671552;mso-width-relative:page;mso-height-relative:page;" filled="f" stroked="f" coordsize="21600,21600">
            <v:path/>
            <v:fill on="f" focussize="0,0"/>
            <v:stroke on="f"/>
            <v:imagedata o:title=""/>
            <o:lock v:ext="edit" aspectratio="f"/>
            <v:textbox inset="0mm,0mm,0mm,0mm">
              <w:txbxContent>
                <w:p w14:paraId="544721FC">
                  <w:pPr>
                    <w:spacing w:before="20" w:line="219" w:lineRule="auto"/>
                    <w:ind w:left="20"/>
                    <w:rPr>
                      <w:rFonts w:ascii="宋体" w:hAnsi="宋体" w:eastAsia="宋体" w:cs="宋体"/>
                      <w:sz w:val="19"/>
                      <w:szCs w:val="19"/>
                    </w:rPr>
                  </w:pPr>
                  <w:r>
                    <w:rPr>
                      <w:rFonts w:ascii="宋体" w:hAnsi="宋体" w:eastAsia="宋体" w:cs="宋体"/>
                      <w:spacing w:val="-6"/>
                      <w:sz w:val="19"/>
                      <w:szCs w:val="19"/>
                    </w:rPr>
                    <w:t>危险消除</w:t>
                  </w:r>
                </w:p>
              </w:txbxContent>
            </v:textbox>
          </v:shape>
        </w:pict>
      </w:r>
      <w:r>
        <w:rPr>
          <w:rFonts w:ascii="宋体" w:hAnsi="宋体" w:eastAsia="宋体" w:cs="宋体"/>
          <w:spacing w:val="-8"/>
          <w:sz w:val="22"/>
          <w:szCs w:val="22"/>
        </w:rPr>
        <w:t>水水源地</w:t>
      </w:r>
      <w:r>
        <w:rPr>
          <w:rFonts w:ascii="宋体" w:hAnsi="宋体" w:eastAsia="宋体" w:cs="宋体"/>
          <w:sz w:val="22"/>
          <w:szCs w:val="22"/>
        </w:rPr>
        <w:t xml:space="preserve"> </w:t>
      </w:r>
      <w:r>
        <w:rPr>
          <w:rFonts w:ascii="宋体" w:hAnsi="宋体" w:eastAsia="宋体" w:cs="宋体"/>
          <w:spacing w:val="-11"/>
          <w:sz w:val="26"/>
          <w:szCs w:val="26"/>
        </w:rPr>
        <w:t>启动应急措施</w:t>
      </w:r>
    </w:p>
    <w:p w14:paraId="1155ABA4">
      <w:pPr>
        <w:spacing w:line="218" w:lineRule="auto"/>
        <w:ind w:left="2519"/>
        <w:rPr>
          <w:rFonts w:ascii="宋体" w:hAnsi="宋体" w:eastAsia="宋体" w:cs="宋体"/>
          <w:sz w:val="22"/>
          <w:szCs w:val="22"/>
        </w:rPr>
      </w:pPr>
      <w:r>
        <w:pict>
          <v:shape id="_x0000_s1029" o:spid="_x0000_s1029" o:spt="202" type="#_x0000_t202" style="position:absolute;left:0pt;margin-left:17.95pt;margin-top:4.3pt;height:20.5pt;width:32.3pt;z-index:251669504;mso-width-relative:page;mso-height-relative:page;" filled="f" stroked="f" coordsize="21600,21600">
            <v:path/>
            <v:fill on="f" focussize="0,0"/>
            <v:stroke on="f"/>
            <v:imagedata o:title=""/>
            <o:lock v:ext="edit" aspectratio="f"/>
            <v:textbox inset="0mm,0mm,0mm,0mm">
              <w:txbxContent>
                <w:p w14:paraId="46FD048A">
                  <w:pPr>
                    <w:spacing w:before="20" w:line="220" w:lineRule="auto"/>
                    <w:ind w:left="20"/>
                    <w:rPr>
                      <w:rFonts w:ascii="宋体" w:hAnsi="宋体" w:eastAsia="宋体" w:cs="宋体"/>
                      <w:sz w:val="31"/>
                      <w:szCs w:val="31"/>
                    </w:rPr>
                  </w:pPr>
                  <w:r>
                    <w:rPr>
                      <w:rFonts w:ascii="宋体" w:hAnsi="宋体" w:eastAsia="宋体" w:cs="宋体"/>
                      <w:spacing w:val="-4"/>
                      <w:sz w:val="31"/>
                      <w:szCs w:val="31"/>
                    </w:rPr>
                    <w:t>预警</w:t>
                  </w:r>
                </w:p>
              </w:txbxContent>
            </v:textbox>
          </v:shape>
        </w:pict>
      </w:r>
      <w:r>
        <w:rPr>
          <w:rFonts w:ascii="宋体" w:hAnsi="宋体" w:eastAsia="宋体" w:cs="宋体"/>
          <w:spacing w:val="-10"/>
          <w:sz w:val="22"/>
          <w:szCs w:val="22"/>
        </w:rPr>
        <w:t>橙色预警</w:t>
      </w:r>
    </w:p>
    <w:p w14:paraId="09BB0795">
      <w:pPr>
        <w:spacing w:before="109" w:line="219" w:lineRule="auto"/>
        <w:ind w:left="5499"/>
        <w:rPr>
          <w:rFonts w:ascii="宋体" w:hAnsi="宋体" w:eastAsia="宋体" w:cs="宋体"/>
          <w:sz w:val="22"/>
          <w:szCs w:val="22"/>
        </w:rPr>
      </w:pPr>
      <w:r>
        <w:rPr>
          <w:rFonts w:ascii="宋体" w:hAnsi="宋体" w:eastAsia="宋体" w:cs="宋体"/>
          <w:spacing w:val="-12"/>
          <w:sz w:val="22"/>
          <w:szCs w:val="22"/>
        </w:rPr>
        <w:t>橙色预警</w:t>
      </w:r>
    </w:p>
    <w:p w14:paraId="38AEA12D">
      <w:pPr>
        <w:spacing w:before="153" w:line="219" w:lineRule="auto"/>
        <w:ind w:left="7729"/>
        <w:rPr>
          <w:rFonts w:ascii="宋体" w:hAnsi="宋体" w:eastAsia="宋体" w:cs="宋体"/>
          <w:sz w:val="26"/>
          <w:szCs w:val="26"/>
        </w:rPr>
      </w:pPr>
      <w:r>
        <w:pict>
          <v:shape id="_x0000_s1030" o:spid="_x0000_s1030" o:spt="202" type="#_x0000_t202" style="position:absolute;left:0pt;margin-left:120pt;margin-top:7.6pt;height:16.35pt;width:51.75pt;z-index:251667456;mso-width-relative:page;mso-height-relative:page;" filled="f" stroked="f" coordsize="21600,21600">
            <v:path/>
            <v:fill on="f" focussize="0,0"/>
            <v:stroke on="f"/>
            <v:imagedata o:title=""/>
            <o:lock v:ext="edit" aspectratio="f"/>
            <v:textbox inset="0mm,0mm,0mm,0mm">
              <w:txbxContent>
                <w:p w14:paraId="124AB346">
                  <w:pPr>
                    <w:spacing w:before="20" w:line="220" w:lineRule="auto"/>
                    <w:ind w:left="20"/>
                    <w:rPr>
                      <w:rFonts w:ascii="宋体" w:hAnsi="宋体" w:eastAsia="宋体" w:cs="宋体"/>
                      <w:sz w:val="24"/>
                      <w:szCs w:val="24"/>
                    </w:rPr>
                  </w:pPr>
                  <w:r>
                    <w:rPr>
                      <w:rFonts w:ascii="宋体" w:hAnsi="宋体" w:eastAsia="宋体" w:cs="宋体"/>
                      <w:spacing w:val="8"/>
                      <w:sz w:val="24"/>
                      <w:szCs w:val="24"/>
                    </w:rPr>
                    <w:t>预警分级</w:t>
                  </w:r>
                </w:p>
              </w:txbxContent>
            </v:textbox>
          </v:shape>
        </w:pict>
      </w:r>
      <w:r>
        <w:pict>
          <v:shape id="_x0000_s1031" o:spid="_x0000_s1031" o:spt="202" type="#_x0000_t202" style="position:absolute;left:0pt;margin-left:208.95pt;margin-top:8pt;height:16.25pt;width:52.05pt;z-index:251666432;mso-width-relative:page;mso-height-relative:page;" filled="f" stroked="f" coordsize="21600,21600">
            <v:path/>
            <v:fill on="f" focussize="0,0"/>
            <v:stroke on="f"/>
            <v:imagedata o:title=""/>
            <o:lock v:ext="edit" aspectratio="f"/>
            <v:textbox inset="0mm,0mm,0mm,0mm">
              <w:txbxContent>
                <w:p w14:paraId="2945C402">
                  <w:pPr>
                    <w:spacing w:before="19" w:line="219" w:lineRule="auto"/>
                    <w:ind w:left="20"/>
                    <w:rPr>
                      <w:rFonts w:ascii="宋体" w:hAnsi="宋体" w:eastAsia="宋体" w:cs="宋体"/>
                      <w:sz w:val="24"/>
                      <w:szCs w:val="24"/>
                    </w:rPr>
                  </w:pPr>
                  <w:r>
                    <w:rPr>
                      <w:rFonts w:ascii="宋体" w:hAnsi="宋体" w:eastAsia="宋体" w:cs="宋体"/>
                      <w:spacing w:val="10"/>
                      <w:sz w:val="24"/>
                      <w:szCs w:val="24"/>
                    </w:rPr>
                    <w:t>发布预警</w:t>
                  </w:r>
                </w:p>
              </w:txbxContent>
            </v:textbox>
          </v:shape>
        </w:pict>
      </w:r>
      <w:r>
        <w:pict>
          <v:shape id="_x0000_s1032" o:spid="_x0000_s1032" o:spt="202" type="#_x0000_t202" style="position:absolute;left:0pt;margin-left:292.45pt;margin-top:8.1pt;height:16.35pt;width:52.35pt;z-index:251665408;mso-width-relative:page;mso-height-relative:page;" filled="f" stroked="f" coordsize="21600,21600">
            <v:path/>
            <v:fill on="f" focussize="0,0"/>
            <v:stroke on="f"/>
            <v:imagedata o:title=""/>
            <o:lock v:ext="edit" aspectratio="f"/>
            <v:textbox inset="0mm,0mm,0mm,0mm">
              <w:txbxContent>
                <w:p w14:paraId="0FEBEB96">
                  <w:pPr>
                    <w:spacing w:before="20" w:line="220" w:lineRule="auto"/>
                    <w:ind w:left="20"/>
                    <w:rPr>
                      <w:rFonts w:ascii="宋体" w:hAnsi="宋体" w:eastAsia="宋体" w:cs="宋体"/>
                      <w:sz w:val="24"/>
                      <w:szCs w:val="24"/>
                    </w:rPr>
                  </w:pPr>
                  <w:r>
                    <w:rPr>
                      <w:rFonts w:ascii="宋体" w:hAnsi="宋体" w:eastAsia="宋体" w:cs="宋体"/>
                      <w:spacing w:val="11"/>
                      <w:sz w:val="24"/>
                      <w:szCs w:val="24"/>
                    </w:rPr>
                    <w:t>预警行动</w:t>
                  </w:r>
                </w:p>
              </w:txbxContent>
            </v:textbox>
          </v:shape>
        </w:pict>
      </w:r>
      <w:r>
        <w:rPr>
          <w:rFonts w:ascii="宋体" w:hAnsi="宋体" w:eastAsia="宋体" w:cs="宋体"/>
          <w:spacing w:val="-3"/>
          <w:sz w:val="26"/>
          <w:szCs w:val="26"/>
        </w:rPr>
        <w:t>预警解除</w:t>
      </w:r>
    </w:p>
    <w:p w14:paraId="052BF726">
      <w:pPr>
        <w:spacing w:before="300" w:line="220" w:lineRule="auto"/>
        <w:ind w:left="4329"/>
        <w:rPr>
          <w:rFonts w:ascii="宋体" w:hAnsi="宋体" w:eastAsia="宋体" w:cs="宋体"/>
          <w:sz w:val="22"/>
          <w:szCs w:val="22"/>
        </w:rPr>
      </w:pPr>
      <w:r>
        <w:rPr>
          <w:rFonts w:ascii="宋体" w:hAnsi="宋体" w:eastAsia="宋体" w:cs="宋体"/>
          <w:spacing w:val="-10"/>
          <w:sz w:val="22"/>
          <w:szCs w:val="22"/>
        </w:rPr>
        <w:t>红色预警</w:t>
      </w:r>
    </w:p>
    <w:p w14:paraId="5CD17F3E">
      <w:pPr>
        <w:spacing w:before="270" w:line="220" w:lineRule="auto"/>
        <w:ind w:left="2519"/>
        <w:rPr>
          <w:rFonts w:ascii="宋体" w:hAnsi="宋体" w:eastAsia="宋体" w:cs="宋体"/>
          <w:sz w:val="26"/>
          <w:szCs w:val="26"/>
        </w:rPr>
      </w:pPr>
      <w:r>
        <w:rPr>
          <w:rFonts w:ascii="宋体" w:hAnsi="宋体" w:eastAsia="宋体" w:cs="宋体"/>
          <w:spacing w:val="4"/>
          <w:position w:val="1"/>
          <w:sz w:val="22"/>
          <w:szCs w:val="22"/>
        </w:rPr>
        <w:t>红色预警</w:t>
      </w:r>
      <w:r>
        <w:rPr>
          <w:rFonts w:ascii="宋体" w:hAnsi="宋体" w:eastAsia="宋体" w:cs="宋体"/>
          <w:spacing w:val="-33"/>
          <w:position w:val="1"/>
          <w:sz w:val="22"/>
          <w:szCs w:val="22"/>
        </w:rPr>
        <w:t xml:space="preserve"> </w:t>
      </w:r>
      <w:r>
        <w:rPr>
          <w:rFonts w:ascii="宋体" w:hAnsi="宋体" w:eastAsia="宋体" w:cs="宋体"/>
          <w:spacing w:val="4"/>
          <w:position w:val="1"/>
          <w:sz w:val="22"/>
          <w:szCs w:val="22"/>
        </w:rPr>
        <w:t>→</w:t>
      </w:r>
      <w:r>
        <w:rPr>
          <w:rFonts w:ascii="宋体" w:hAnsi="宋体" w:eastAsia="宋体" w:cs="宋体"/>
          <w:spacing w:val="72"/>
          <w:position w:val="1"/>
          <w:sz w:val="22"/>
          <w:szCs w:val="22"/>
        </w:rPr>
        <w:t xml:space="preserve"> </w:t>
      </w:r>
      <w:r>
        <w:rPr>
          <w:rFonts w:ascii="宋体" w:hAnsi="宋体" w:eastAsia="宋体" w:cs="宋体"/>
          <w:spacing w:val="4"/>
          <w:sz w:val="26"/>
          <w:szCs w:val="26"/>
        </w:rPr>
        <w:t>启动应急措施</w:t>
      </w:r>
    </w:p>
    <w:p w14:paraId="09D564FB">
      <w:pPr>
        <w:spacing w:line="305" w:lineRule="auto"/>
        <w:rPr>
          <w:rFonts w:ascii="Arial"/>
          <w:sz w:val="21"/>
        </w:rPr>
      </w:pPr>
    </w:p>
    <w:p w14:paraId="17C05117">
      <w:pPr>
        <w:spacing w:line="306" w:lineRule="auto"/>
        <w:rPr>
          <w:rFonts w:ascii="Arial"/>
          <w:sz w:val="21"/>
        </w:rPr>
      </w:pPr>
    </w:p>
    <w:p w14:paraId="6A87D54E">
      <w:pPr>
        <w:spacing w:before="85" w:line="220" w:lineRule="auto"/>
        <w:ind w:left="4199"/>
        <w:rPr>
          <w:rFonts w:ascii="宋体" w:hAnsi="宋体" w:eastAsia="宋体" w:cs="宋体"/>
          <w:sz w:val="26"/>
          <w:szCs w:val="26"/>
        </w:rPr>
      </w:pPr>
      <w:r>
        <w:pict>
          <v:shape id="_x0000_s1033" o:spid="_x0000_s1033" o:spt="202" type="#_x0000_t202" style="position:absolute;left:0pt;margin-left:60.95pt;margin-top:-0.35pt;height:27.2pt;width:44.3pt;z-index:251664384;mso-width-relative:page;mso-height-relative:page;" filled="f" stroked="f" coordsize="21600,21600">
            <v:path/>
            <v:fill on="f" focussize="0,0"/>
            <v:stroke on="f"/>
            <v:imagedata o:title=""/>
            <o:lock v:ext="edit" aspectratio="f"/>
            <v:textbox inset="0mm,0mm,0mm,0mm">
              <w:txbxContent>
                <w:p w14:paraId="2BDFCE73">
                  <w:pPr>
                    <w:spacing w:before="20" w:line="211" w:lineRule="auto"/>
                    <w:ind w:left="20" w:right="20"/>
                    <w:rPr>
                      <w:rFonts w:ascii="宋体" w:hAnsi="宋体" w:eastAsia="宋体" w:cs="宋体"/>
                      <w:sz w:val="22"/>
                      <w:szCs w:val="22"/>
                    </w:rPr>
                  </w:pPr>
                  <w:r>
                    <w:rPr>
                      <w:rFonts w:ascii="宋体" w:hAnsi="宋体" w:eastAsia="宋体" w:cs="宋体"/>
                      <w:spacing w:val="-9"/>
                      <w:sz w:val="22"/>
                      <w:szCs w:val="22"/>
                    </w:rPr>
                    <w:t>监测信息</w:t>
                  </w:r>
                  <w:r>
                    <w:rPr>
                      <w:rFonts w:ascii="宋体" w:hAnsi="宋体" w:eastAsia="宋体" w:cs="宋体"/>
                      <w:sz w:val="22"/>
                      <w:szCs w:val="22"/>
                    </w:rPr>
                    <w:t xml:space="preserve"> </w:t>
                  </w:r>
                  <w:r>
                    <w:rPr>
                      <w:rFonts w:ascii="宋体" w:hAnsi="宋体" w:eastAsia="宋体" w:cs="宋体"/>
                      <w:spacing w:val="-10"/>
                      <w:sz w:val="22"/>
                      <w:szCs w:val="22"/>
                    </w:rPr>
                    <w:t>处置效果</w:t>
                  </w:r>
                </w:p>
              </w:txbxContent>
            </v:textbox>
          </v:shape>
        </w:pict>
      </w:r>
      <w:r>
        <w:pict>
          <v:shape id="_x0000_s1034" o:spid="_x0000_s1034" o:spt="202" type="#_x0000_t202" style="position:absolute;left:0pt;margin-left:371.45pt;margin-top:6.5pt;height:12.1pt;width:46.95pt;z-index:251670528;mso-width-relative:page;mso-height-relative:page;" filled="f" stroked="f" coordsize="21600,21600">
            <v:path/>
            <v:fill on="f" focussize="0,0"/>
            <v:stroke on="f"/>
            <v:imagedata o:title=""/>
            <o:lock v:ext="edit" aspectratio="f"/>
            <v:textbox inset="0mm,0mm,0mm,0mm">
              <w:txbxContent>
                <w:p w14:paraId="1D75E492">
                  <w:pPr>
                    <w:spacing w:before="20" w:line="219" w:lineRule="auto"/>
                    <w:jc w:val="right"/>
                    <w:rPr>
                      <w:rFonts w:ascii="宋体" w:hAnsi="宋体" w:eastAsia="宋体" w:cs="宋体"/>
                      <w:sz w:val="17"/>
                      <w:szCs w:val="17"/>
                    </w:rPr>
                  </w:pPr>
                  <w:r>
                    <w:rPr>
                      <w:rFonts w:ascii="宋体" w:hAnsi="宋体" w:eastAsia="宋体" w:cs="宋体"/>
                      <w:spacing w:val="-18"/>
                      <w:w w:val="97"/>
                      <w:sz w:val="17"/>
                      <w:szCs w:val="17"/>
                    </w:rPr>
                    <w:t>一</w:t>
                  </w:r>
                  <w:r>
                    <w:rPr>
                      <w:rFonts w:ascii="宋体" w:hAnsi="宋体" w:eastAsia="宋体" w:cs="宋体"/>
                      <w:spacing w:val="-17"/>
                      <w:w w:val="97"/>
                      <w:sz w:val="17"/>
                      <w:szCs w:val="17"/>
                    </w:rPr>
                    <w:t>危险消除</w:t>
                  </w:r>
                  <w:r>
                    <w:rPr>
                      <w:rFonts w:ascii="宋体" w:hAnsi="宋体" w:eastAsia="宋体" w:cs="宋体"/>
                      <w:spacing w:val="-10"/>
                      <w:w w:val="97"/>
                      <w:sz w:val="17"/>
                      <w:szCs w:val="17"/>
                    </w:rPr>
                    <w:t>一</w:t>
                  </w:r>
                </w:p>
              </w:txbxContent>
            </v:textbox>
          </v:shape>
        </w:pict>
      </w:r>
      <w:r>
        <w:rPr>
          <w:rFonts w:ascii="宋体" w:hAnsi="宋体" w:eastAsia="宋体" w:cs="宋体"/>
          <w:spacing w:val="-6"/>
          <w:sz w:val="26"/>
          <w:szCs w:val="26"/>
        </w:rPr>
        <w:t>事态研判</w:t>
      </w:r>
    </w:p>
    <w:p w14:paraId="168E5630">
      <w:pPr>
        <w:spacing w:line="355" w:lineRule="auto"/>
        <w:rPr>
          <w:rFonts w:ascii="Arial"/>
          <w:sz w:val="21"/>
        </w:rPr>
      </w:pPr>
    </w:p>
    <w:p w14:paraId="31874CC8">
      <w:pPr>
        <w:spacing w:line="355" w:lineRule="auto"/>
        <w:rPr>
          <w:rFonts w:ascii="Arial"/>
          <w:sz w:val="21"/>
        </w:rPr>
      </w:pPr>
    </w:p>
    <w:p w14:paraId="78DEBBE2">
      <w:pPr>
        <w:spacing w:before="85" w:line="226" w:lineRule="auto"/>
        <w:ind w:left="1469"/>
        <w:rPr>
          <w:rFonts w:ascii="宋体" w:hAnsi="宋体" w:eastAsia="宋体" w:cs="宋体"/>
          <w:sz w:val="26"/>
          <w:szCs w:val="26"/>
        </w:rPr>
      </w:pPr>
      <w:r>
        <w:rPr>
          <w:rFonts w:ascii="宋体" w:hAnsi="宋体" w:eastAsia="宋体" w:cs="宋体"/>
          <w:spacing w:val="-8"/>
          <w:position w:val="1"/>
          <w:sz w:val="25"/>
          <w:szCs w:val="25"/>
        </w:rPr>
        <w:t xml:space="preserve">应急监测    </w:t>
      </w:r>
      <w:r>
        <w:rPr>
          <w:rFonts w:ascii="宋体" w:hAnsi="宋体" w:eastAsia="宋体" w:cs="宋体"/>
          <w:spacing w:val="-8"/>
          <w:sz w:val="26"/>
          <w:szCs w:val="26"/>
        </w:rPr>
        <w:t>污染源排查与处置</w:t>
      </w:r>
      <w:r>
        <w:rPr>
          <w:rFonts w:ascii="宋体" w:hAnsi="宋体" w:eastAsia="宋体" w:cs="宋体"/>
          <w:spacing w:val="34"/>
          <w:sz w:val="26"/>
          <w:szCs w:val="26"/>
        </w:rPr>
        <w:t xml:space="preserve">    </w:t>
      </w:r>
      <w:r>
        <w:rPr>
          <w:rFonts w:ascii="宋体" w:hAnsi="宋体" w:eastAsia="宋体" w:cs="宋体"/>
          <w:spacing w:val="-8"/>
          <w:sz w:val="26"/>
          <w:szCs w:val="26"/>
        </w:rPr>
        <w:t>物资调集及应急设施启用</w:t>
      </w:r>
    </w:p>
    <w:p w14:paraId="4890B67D">
      <w:pPr>
        <w:spacing w:line="273" w:lineRule="auto"/>
        <w:rPr>
          <w:rFonts w:ascii="Arial"/>
          <w:sz w:val="21"/>
        </w:rPr>
      </w:pPr>
    </w:p>
    <w:p w14:paraId="478962B5">
      <w:pPr>
        <w:spacing w:line="274" w:lineRule="auto"/>
        <w:rPr>
          <w:rFonts w:ascii="Arial"/>
          <w:sz w:val="21"/>
        </w:rPr>
      </w:pPr>
    </w:p>
    <w:p w14:paraId="561D6849">
      <w:pPr>
        <w:spacing w:before="85" w:line="221" w:lineRule="auto"/>
        <w:ind w:left="4199"/>
        <w:rPr>
          <w:rFonts w:ascii="宋体" w:hAnsi="宋体" w:eastAsia="宋体" w:cs="宋体"/>
          <w:sz w:val="26"/>
          <w:szCs w:val="26"/>
        </w:rPr>
      </w:pPr>
      <w:r>
        <w:pict>
          <v:shape id="_x0000_s1035" o:spid="_x0000_s1035" o:spt="202" type="#_x0000_t202" style="position:absolute;left:0pt;margin-left:9.95pt;margin-top:-12.6pt;height:35.85pt;width:34.6pt;z-index:251663360;mso-width-relative:page;mso-height-relative:page;" filled="f" stroked="f" coordsize="21600,21600">
            <v:path/>
            <v:fill on="f" focussize="0,0"/>
            <v:stroke on="f"/>
            <v:imagedata o:title=""/>
            <o:lock v:ext="edit" aspectratio="f"/>
            <v:textbox inset="0mm,0mm,0mm,0mm">
              <w:txbxContent>
                <w:p w14:paraId="6B8868F2">
                  <w:pPr>
                    <w:spacing w:before="18" w:line="202" w:lineRule="auto"/>
                    <w:ind w:left="20" w:right="20" w:firstLine="10"/>
                    <w:rPr>
                      <w:rFonts w:ascii="宋体" w:hAnsi="宋体" w:eastAsia="宋体" w:cs="宋体"/>
                      <w:sz w:val="31"/>
                      <w:szCs w:val="31"/>
                    </w:rPr>
                  </w:pPr>
                  <w:r>
                    <w:rPr>
                      <w:rFonts w:ascii="宋体" w:hAnsi="宋体" w:eastAsia="宋体" w:cs="宋体"/>
                      <w:spacing w:val="10"/>
                      <w:sz w:val="31"/>
                      <w:szCs w:val="31"/>
                    </w:rPr>
                    <w:t>应急</w:t>
                  </w:r>
                  <w:r>
                    <w:rPr>
                      <w:rFonts w:ascii="宋体" w:hAnsi="宋体" w:eastAsia="宋体" w:cs="宋体"/>
                      <w:sz w:val="31"/>
                      <w:szCs w:val="31"/>
                    </w:rPr>
                    <w:t xml:space="preserve"> </w:t>
                  </w:r>
                  <w:r>
                    <w:rPr>
                      <w:rFonts w:ascii="宋体" w:hAnsi="宋体" w:eastAsia="宋体" w:cs="宋体"/>
                      <w:spacing w:val="12"/>
                      <w:sz w:val="31"/>
                      <w:szCs w:val="31"/>
                    </w:rPr>
                    <w:t>措施</w:t>
                  </w:r>
                </w:p>
              </w:txbxContent>
            </v:textbox>
          </v:shape>
        </w:pict>
      </w:r>
      <w:r>
        <w:rPr>
          <w:rFonts w:ascii="宋体" w:hAnsi="宋体" w:eastAsia="宋体" w:cs="宋体"/>
          <w:spacing w:val="-8"/>
          <w:sz w:val="26"/>
          <w:szCs w:val="26"/>
        </w:rPr>
        <w:t>应急处置</w:t>
      </w:r>
    </w:p>
    <w:p w14:paraId="55042E62">
      <w:pPr>
        <w:spacing w:line="447" w:lineRule="auto"/>
        <w:rPr>
          <w:rFonts w:ascii="Arial"/>
          <w:sz w:val="21"/>
        </w:rPr>
      </w:pPr>
    </w:p>
    <w:p w14:paraId="41FA683E">
      <w:pPr>
        <w:spacing w:before="85" w:line="221" w:lineRule="auto"/>
        <w:ind w:left="2419"/>
        <w:rPr>
          <w:rFonts w:ascii="宋体" w:hAnsi="宋体" w:eastAsia="宋体" w:cs="宋体"/>
          <w:sz w:val="26"/>
          <w:szCs w:val="26"/>
        </w:rPr>
      </w:pPr>
      <w:r>
        <w:rPr>
          <w:rFonts w:ascii="宋体" w:hAnsi="宋体" w:eastAsia="宋体" w:cs="宋体"/>
          <w:spacing w:val="-11"/>
          <w:position w:val="-1"/>
          <w:sz w:val="26"/>
          <w:szCs w:val="26"/>
        </w:rPr>
        <w:t>制定现场处置方案</w:t>
      </w:r>
      <w:r>
        <w:rPr>
          <w:rFonts w:ascii="宋体" w:hAnsi="宋体" w:eastAsia="宋体" w:cs="宋体"/>
          <w:spacing w:val="10"/>
          <w:position w:val="-1"/>
          <w:sz w:val="26"/>
          <w:szCs w:val="26"/>
        </w:rPr>
        <w:t xml:space="preserve">   </w:t>
      </w:r>
      <w:r>
        <w:rPr>
          <w:rFonts w:ascii="宋体" w:hAnsi="宋体" w:eastAsia="宋体" w:cs="宋体"/>
          <w:spacing w:val="-11"/>
          <w:position w:val="2"/>
          <w:sz w:val="26"/>
          <w:szCs w:val="26"/>
        </w:rPr>
        <w:t>水厂应对</w:t>
      </w:r>
    </w:p>
    <w:p w14:paraId="7976F925">
      <w:pPr>
        <w:spacing w:before="295" w:line="219" w:lineRule="auto"/>
        <w:ind w:left="4829"/>
        <w:rPr>
          <w:rFonts w:ascii="宋体" w:hAnsi="宋体" w:eastAsia="宋体" w:cs="宋体"/>
          <w:sz w:val="22"/>
          <w:szCs w:val="22"/>
        </w:rPr>
      </w:pPr>
      <w:r>
        <w:rPr>
          <w:rFonts w:ascii="宋体" w:hAnsi="宋体" w:eastAsia="宋体" w:cs="宋体"/>
          <w:spacing w:val="-13"/>
          <w:sz w:val="22"/>
          <w:szCs w:val="22"/>
        </w:rPr>
        <w:t>响应</w:t>
      </w:r>
      <w:r>
        <w:rPr>
          <w:rFonts w:ascii="宋体" w:hAnsi="宋体" w:eastAsia="宋体" w:cs="宋体"/>
          <w:b/>
          <w:bCs/>
          <w:spacing w:val="-13"/>
          <w:sz w:val="22"/>
          <w:szCs w:val="22"/>
        </w:rPr>
        <w:t>终止条件</w:t>
      </w:r>
    </w:p>
    <w:p w14:paraId="10FAB956">
      <w:pPr>
        <w:spacing w:line="476" w:lineRule="auto"/>
        <w:rPr>
          <w:rFonts w:ascii="Arial"/>
          <w:sz w:val="21"/>
        </w:rPr>
      </w:pPr>
    </w:p>
    <w:p w14:paraId="62C707F7">
      <w:pPr>
        <w:spacing w:before="84" w:line="219" w:lineRule="auto"/>
        <w:ind w:left="3810"/>
        <w:rPr>
          <w:rFonts w:ascii="宋体" w:hAnsi="宋体" w:eastAsia="宋体" w:cs="宋体"/>
          <w:sz w:val="26"/>
          <w:szCs w:val="26"/>
        </w:rPr>
      </w:pPr>
      <w:r>
        <w:pict>
          <v:shape id="_x0000_s1036" o:spid="_x0000_s1036" o:spt="202" type="#_x0000_t202" style="position:absolute;left:0pt;margin-left:248.45pt;margin-top:7.25pt;height:18.65pt;width:41.6pt;z-index:251668480;mso-width-relative:page;mso-height-relative:page;" filled="f" stroked="f" coordsize="21600,21600">
            <v:path/>
            <v:fill on="f" focussize="0,0"/>
            <v:stroke on="f"/>
            <v:imagedata o:title=""/>
            <o:lock v:ext="edit" aspectratio="f"/>
            <v:textbox inset="0mm,0mm,0mm,0mm">
              <w:txbxContent>
                <w:p w14:paraId="4BF139A5">
                  <w:pPr>
                    <w:spacing w:before="20" w:line="219" w:lineRule="auto"/>
                    <w:ind w:left="20"/>
                    <w:rPr>
                      <w:rFonts w:ascii="宋体" w:hAnsi="宋体" w:eastAsia="宋体" w:cs="宋体"/>
                      <w:sz w:val="28"/>
                      <w:szCs w:val="28"/>
                    </w:rPr>
                  </w:pPr>
                  <w:r>
                    <w:rPr>
                      <w:rFonts w:ascii="宋体" w:hAnsi="宋体" w:eastAsia="宋体" w:cs="宋体"/>
                      <w:spacing w:val="-11"/>
                      <w:sz w:val="28"/>
                      <w:szCs w:val="28"/>
                    </w:rPr>
                    <w:t>不满足</w:t>
                  </w:r>
                </w:p>
              </w:txbxContent>
            </v:textbox>
          </v:shape>
        </w:pict>
      </w:r>
      <w:r>
        <w:pict>
          <v:shape id="_x0000_s1037" o:spid="_x0000_s1037" o:spt="202" type="#_x0000_t202" style="position:absolute;left:0pt;margin-left:17.95pt;margin-top:10.5pt;height:39.45pt;width:32.25pt;z-index:251662336;mso-width-relative:page;mso-height-relative:page;" filled="f" stroked="f" coordsize="21600,21600">
            <v:path/>
            <v:fill on="f" focussize="0,0"/>
            <v:stroke on="f"/>
            <v:imagedata o:title=""/>
            <o:lock v:ext="edit" aspectratio="f"/>
            <v:textbox inset="0mm,0mm,0mm,0mm">
              <w:txbxContent>
                <w:p w14:paraId="746D664B">
                  <w:pPr>
                    <w:spacing w:before="21" w:line="209" w:lineRule="auto"/>
                    <w:ind w:left="20" w:right="20"/>
                    <w:rPr>
                      <w:rFonts w:ascii="宋体" w:hAnsi="宋体" w:eastAsia="宋体" w:cs="宋体"/>
                      <w:sz w:val="35"/>
                      <w:szCs w:val="35"/>
                    </w:rPr>
                  </w:pPr>
                  <w:r>
                    <w:rPr>
                      <w:rFonts w:ascii="宋体" w:hAnsi="宋体" w:eastAsia="宋体" w:cs="宋体"/>
                      <w:spacing w:val="-14"/>
                      <w:sz w:val="31"/>
                      <w:szCs w:val="31"/>
                    </w:rPr>
                    <w:t>响应</w:t>
                  </w:r>
                  <w:r>
                    <w:rPr>
                      <w:rFonts w:ascii="宋体" w:hAnsi="宋体" w:eastAsia="宋体" w:cs="宋体"/>
                      <w:sz w:val="31"/>
                      <w:szCs w:val="31"/>
                    </w:rPr>
                    <w:t xml:space="preserve"> </w:t>
                  </w:r>
                  <w:r>
                    <w:rPr>
                      <w:rFonts w:ascii="宋体" w:hAnsi="宋体" w:eastAsia="宋体" w:cs="宋体"/>
                      <w:spacing w:val="-28"/>
                      <w:w w:val="94"/>
                      <w:sz w:val="35"/>
                      <w:szCs w:val="35"/>
                    </w:rPr>
                    <w:t>终止</w:t>
                  </w:r>
                </w:p>
              </w:txbxContent>
            </v:textbox>
          </v:shape>
        </w:pict>
      </w:r>
      <w:r>
        <w:rPr>
          <w:rFonts w:ascii="宋体" w:hAnsi="宋体" w:eastAsia="宋体" w:cs="宋体"/>
          <w:spacing w:val="-10"/>
          <w:sz w:val="26"/>
          <w:szCs w:val="26"/>
        </w:rPr>
        <w:t>满足</w:t>
      </w:r>
    </w:p>
    <w:p w14:paraId="59F0ED3F">
      <w:pPr>
        <w:spacing w:line="268" w:lineRule="auto"/>
        <w:rPr>
          <w:rFonts w:ascii="Arial"/>
          <w:sz w:val="21"/>
        </w:rPr>
      </w:pPr>
    </w:p>
    <w:p w14:paraId="5B050596">
      <w:pPr>
        <w:spacing w:line="269" w:lineRule="auto"/>
        <w:rPr>
          <w:rFonts w:ascii="Arial"/>
          <w:sz w:val="21"/>
        </w:rPr>
      </w:pPr>
    </w:p>
    <w:p w14:paraId="1E41B858">
      <w:pPr>
        <w:spacing w:before="85" w:line="221" w:lineRule="auto"/>
        <w:ind w:left="3559"/>
        <w:rPr>
          <w:rFonts w:ascii="宋体" w:hAnsi="宋体" w:eastAsia="宋体" w:cs="宋体"/>
          <w:sz w:val="26"/>
          <w:szCs w:val="26"/>
        </w:rPr>
      </w:pPr>
      <w:r>
        <w:rPr>
          <w:rFonts w:ascii="宋体" w:hAnsi="宋体" w:eastAsia="宋体" w:cs="宋体"/>
          <w:spacing w:val="-5"/>
          <w:sz w:val="26"/>
          <w:szCs w:val="26"/>
        </w:rPr>
        <w:t>响应终止</w:t>
      </w:r>
    </w:p>
    <w:p w14:paraId="11BFEC92">
      <w:pPr>
        <w:spacing w:line="221" w:lineRule="auto"/>
        <w:rPr>
          <w:rFonts w:ascii="宋体" w:hAnsi="宋体" w:eastAsia="宋体" w:cs="宋体"/>
          <w:sz w:val="26"/>
          <w:szCs w:val="26"/>
        </w:rPr>
        <w:sectPr>
          <w:footerReference r:id="rId40" w:type="default"/>
          <w:pgSz w:w="11910" w:h="16850"/>
          <w:pgMar w:top="1432" w:right="1140" w:bottom="1457" w:left="1720" w:header="0" w:footer="1266" w:gutter="0"/>
          <w:cols w:space="720" w:num="1"/>
        </w:sectPr>
      </w:pPr>
    </w:p>
    <w:p w14:paraId="3DE34740">
      <w:pPr>
        <w:spacing w:before="202" w:line="219" w:lineRule="auto"/>
        <w:ind w:left="128"/>
        <w:rPr>
          <w:rFonts w:ascii="宋体" w:hAnsi="宋体" w:eastAsia="宋体" w:cs="宋体"/>
          <w:sz w:val="25"/>
          <w:szCs w:val="25"/>
        </w:rPr>
      </w:pPr>
      <w:r>
        <w:rPr>
          <w:rFonts w:ascii="宋体" w:hAnsi="宋体" w:eastAsia="宋体" w:cs="宋体"/>
          <w:b/>
          <w:bCs/>
          <w:spacing w:val="-3"/>
          <w:sz w:val="25"/>
          <w:szCs w:val="25"/>
        </w:rPr>
        <w:t>附件二：应急组织机构成员单位及联系方式</w:t>
      </w:r>
    </w:p>
    <w:p w14:paraId="60769169">
      <w:pPr>
        <w:spacing w:line="73" w:lineRule="exact"/>
      </w:pPr>
    </w:p>
    <w:tbl>
      <w:tblPr>
        <w:tblStyle w:val="5"/>
        <w:tblW w:w="85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2"/>
        <w:gridCol w:w="2128"/>
        <w:gridCol w:w="2128"/>
        <w:gridCol w:w="2142"/>
      </w:tblGrid>
      <w:tr w14:paraId="2C5A6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142" w:type="dxa"/>
            <w:vAlign w:val="top"/>
          </w:tcPr>
          <w:p w14:paraId="0EDC0A14">
            <w:pPr>
              <w:pStyle w:val="6"/>
              <w:spacing w:before="111" w:line="220" w:lineRule="auto"/>
              <w:ind w:left="858"/>
            </w:pPr>
            <w:r>
              <w:rPr>
                <w:b/>
                <w:bCs/>
                <w:spacing w:val="-5"/>
              </w:rPr>
              <w:t>单位</w:t>
            </w:r>
          </w:p>
        </w:tc>
        <w:tc>
          <w:tcPr>
            <w:tcW w:w="2128" w:type="dxa"/>
            <w:vAlign w:val="top"/>
          </w:tcPr>
          <w:p w14:paraId="41C449F7">
            <w:pPr>
              <w:pStyle w:val="6"/>
              <w:spacing w:before="113" w:line="221" w:lineRule="auto"/>
              <w:ind w:left="746"/>
            </w:pPr>
            <w:r>
              <w:rPr>
                <w:b/>
                <w:bCs/>
                <w:color w:val="505050"/>
                <w:spacing w:val="2"/>
              </w:rPr>
              <w:t>联系</w:t>
            </w:r>
            <w:r>
              <w:rPr>
                <w:b/>
                <w:bCs/>
                <w:spacing w:val="2"/>
              </w:rPr>
              <w:t>人</w:t>
            </w:r>
          </w:p>
        </w:tc>
        <w:tc>
          <w:tcPr>
            <w:tcW w:w="2128" w:type="dxa"/>
            <w:vAlign w:val="top"/>
          </w:tcPr>
          <w:p w14:paraId="6E33BC45">
            <w:pPr>
              <w:pStyle w:val="6"/>
              <w:spacing w:before="110" w:line="219" w:lineRule="auto"/>
              <w:ind w:left="847"/>
            </w:pPr>
            <w:r>
              <w:rPr>
                <w:b/>
                <w:bCs/>
                <w:spacing w:val="-7"/>
              </w:rPr>
              <w:t>职</w:t>
            </w:r>
            <w:r>
              <w:rPr>
                <w:b/>
                <w:bCs/>
                <w:color w:val="606060"/>
                <w:spacing w:val="-7"/>
              </w:rPr>
              <w:t>务</w:t>
            </w:r>
          </w:p>
        </w:tc>
        <w:tc>
          <w:tcPr>
            <w:tcW w:w="2142" w:type="dxa"/>
            <w:vAlign w:val="top"/>
          </w:tcPr>
          <w:p w14:paraId="582E5704">
            <w:pPr>
              <w:pStyle w:val="6"/>
              <w:spacing w:before="113" w:line="221" w:lineRule="auto"/>
              <w:ind w:left="650"/>
            </w:pPr>
            <w:r>
              <w:rPr>
                <w:b/>
                <w:bCs/>
                <w:color w:val="606060"/>
                <w:spacing w:val="-1"/>
              </w:rPr>
              <w:t>联系</w:t>
            </w:r>
            <w:r>
              <w:rPr>
                <w:b/>
                <w:bCs/>
                <w:color w:val="505050"/>
                <w:spacing w:val="-1"/>
              </w:rPr>
              <w:t>电话</w:t>
            </w:r>
          </w:p>
        </w:tc>
      </w:tr>
      <w:tr w14:paraId="3AAA1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restart"/>
            <w:tcBorders>
              <w:bottom w:val="nil"/>
            </w:tcBorders>
            <w:vAlign w:val="top"/>
          </w:tcPr>
          <w:p w14:paraId="278598AC">
            <w:pPr>
              <w:pStyle w:val="6"/>
              <w:spacing w:before="207" w:line="219" w:lineRule="auto"/>
              <w:ind w:left="534"/>
            </w:pPr>
            <w:r>
              <w:rPr>
                <w:spacing w:val="-2"/>
              </w:rPr>
              <w:t>石拐区政府</w:t>
            </w:r>
          </w:p>
        </w:tc>
        <w:tc>
          <w:tcPr>
            <w:tcW w:w="2128" w:type="dxa"/>
            <w:vAlign w:val="top"/>
          </w:tcPr>
          <w:p w14:paraId="5DD9DD64">
            <w:pPr>
              <w:pStyle w:val="6"/>
              <w:spacing w:before="59" w:line="220" w:lineRule="auto"/>
              <w:ind w:left="843"/>
            </w:pPr>
            <w:r>
              <w:rPr>
                <w:spacing w:val="6"/>
              </w:rPr>
              <w:t>盖宇</w:t>
            </w:r>
          </w:p>
        </w:tc>
        <w:tc>
          <w:tcPr>
            <w:tcW w:w="2128" w:type="dxa"/>
            <w:vAlign w:val="top"/>
          </w:tcPr>
          <w:p w14:paraId="4D9114CD">
            <w:pPr>
              <w:pStyle w:val="6"/>
              <w:spacing w:before="58" w:line="219" w:lineRule="auto"/>
              <w:ind w:left="745"/>
            </w:pPr>
            <w:r>
              <w:rPr>
                <w:spacing w:val="6"/>
              </w:rPr>
              <w:t>副区</w:t>
            </w:r>
            <w:r>
              <w:rPr>
                <w:color w:val="506060"/>
                <w:spacing w:val="6"/>
              </w:rPr>
              <w:t>长</w:t>
            </w:r>
          </w:p>
        </w:tc>
        <w:tc>
          <w:tcPr>
            <w:tcW w:w="2142" w:type="dxa"/>
            <w:vAlign w:val="top"/>
          </w:tcPr>
          <w:p w14:paraId="3DDBB857">
            <w:pPr>
              <w:pStyle w:val="6"/>
              <w:spacing w:before="79" w:line="203" w:lineRule="auto"/>
              <w:ind w:left="487"/>
            </w:pPr>
            <w:r>
              <w:rPr>
                <w:spacing w:val="-2"/>
              </w:rPr>
              <w:t>15848692666</w:t>
            </w:r>
          </w:p>
        </w:tc>
      </w:tr>
      <w:tr w14:paraId="05492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142" w:type="dxa"/>
            <w:vMerge w:val="continue"/>
            <w:tcBorders>
              <w:top w:val="nil"/>
            </w:tcBorders>
            <w:vAlign w:val="top"/>
          </w:tcPr>
          <w:p w14:paraId="57117A96">
            <w:pPr>
              <w:rPr>
                <w:rFonts w:ascii="Arial"/>
                <w:sz w:val="21"/>
              </w:rPr>
            </w:pPr>
          </w:p>
        </w:tc>
        <w:tc>
          <w:tcPr>
            <w:tcW w:w="2128" w:type="dxa"/>
            <w:vAlign w:val="top"/>
          </w:tcPr>
          <w:p w14:paraId="219B4DF7">
            <w:pPr>
              <w:pStyle w:val="6"/>
              <w:spacing w:before="48" w:line="212" w:lineRule="auto"/>
              <w:ind w:left="843"/>
            </w:pPr>
            <w:r>
              <w:rPr>
                <w:spacing w:val="4"/>
              </w:rPr>
              <w:t>马斌</w:t>
            </w:r>
          </w:p>
        </w:tc>
        <w:tc>
          <w:tcPr>
            <w:tcW w:w="2128" w:type="dxa"/>
            <w:vAlign w:val="top"/>
          </w:tcPr>
          <w:p w14:paraId="5C3A9BCC">
            <w:pPr>
              <w:pStyle w:val="6"/>
              <w:spacing w:before="47" w:line="213" w:lineRule="auto"/>
              <w:ind w:left="324"/>
            </w:pPr>
            <w:r>
              <w:rPr>
                <w:spacing w:val="-1"/>
              </w:rPr>
              <w:t>政府办公室主任</w:t>
            </w:r>
          </w:p>
        </w:tc>
        <w:tc>
          <w:tcPr>
            <w:tcW w:w="2142" w:type="dxa"/>
            <w:vAlign w:val="top"/>
          </w:tcPr>
          <w:p w14:paraId="76BAC96E">
            <w:pPr>
              <w:pStyle w:val="6"/>
              <w:spacing w:before="69" w:line="194" w:lineRule="auto"/>
              <w:ind w:left="487"/>
            </w:pPr>
            <w:r>
              <w:rPr>
                <w:spacing w:val="-2"/>
              </w:rPr>
              <w:t>13848210362</w:t>
            </w:r>
          </w:p>
        </w:tc>
      </w:tr>
      <w:tr w14:paraId="50C8A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restart"/>
            <w:tcBorders>
              <w:bottom w:val="nil"/>
            </w:tcBorders>
            <w:vAlign w:val="top"/>
          </w:tcPr>
          <w:p w14:paraId="5699865C">
            <w:pPr>
              <w:pStyle w:val="6"/>
              <w:spacing w:before="218" w:line="293" w:lineRule="auto"/>
              <w:ind w:left="644" w:right="135" w:hanging="529"/>
            </w:pPr>
            <w:r>
              <w:rPr>
                <w:spacing w:val="-1"/>
              </w:rPr>
              <w:t>包头市生态环境局石</w:t>
            </w:r>
            <w:r>
              <w:t xml:space="preserve"> </w:t>
            </w:r>
            <w:r>
              <w:rPr>
                <w:spacing w:val="4"/>
              </w:rPr>
              <w:t>拐区分局</w:t>
            </w:r>
          </w:p>
        </w:tc>
        <w:tc>
          <w:tcPr>
            <w:tcW w:w="2128" w:type="dxa"/>
            <w:vAlign w:val="top"/>
          </w:tcPr>
          <w:p w14:paraId="581D8A4F">
            <w:pPr>
              <w:pStyle w:val="6"/>
              <w:spacing w:before="48" w:line="219" w:lineRule="auto"/>
              <w:ind w:left="743"/>
            </w:pPr>
            <w:r>
              <w:rPr>
                <w:spacing w:val="3"/>
              </w:rPr>
              <w:t>祁永旺</w:t>
            </w:r>
          </w:p>
        </w:tc>
        <w:tc>
          <w:tcPr>
            <w:tcW w:w="2128" w:type="dxa"/>
            <w:vAlign w:val="top"/>
          </w:tcPr>
          <w:p w14:paraId="6C8FED7F">
            <w:pPr>
              <w:pStyle w:val="6"/>
              <w:spacing w:before="49" w:line="220" w:lineRule="auto"/>
              <w:ind w:left="844"/>
            </w:pPr>
            <w:r>
              <w:rPr>
                <w:spacing w:val="4"/>
              </w:rPr>
              <w:t>局长</w:t>
            </w:r>
          </w:p>
        </w:tc>
        <w:tc>
          <w:tcPr>
            <w:tcW w:w="2142" w:type="dxa"/>
            <w:vAlign w:val="top"/>
          </w:tcPr>
          <w:p w14:paraId="48690200">
            <w:pPr>
              <w:pStyle w:val="6"/>
              <w:spacing w:before="69" w:line="203" w:lineRule="auto"/>
              <w:ind w:left="487"/>
            </w:pPr>
            <w:r>
              <w:rPr>
                <w:spacing w:val="-2"/>
              </w:rPr>
              <w:t>13947285567</w:t>
            </w:r>
          </w:p>
        </w:tc>
      </w:tr>
      <w:tr w14:paraId="3B905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42" w:type="dxa"/>
            <w:vMerge w:val="continue"/>
            <w:tcBorders>
              <w:top w:val="nil"/>
              <w:bottom w:val="nil"/>
            </w:tcBorders>
            <w:vAlign w:val="top"/>
          </w:tcPr>
          <w:p w14:paraId="6B3988AF">
            <w:pPr>
              <w:rPr>
                <w:rFonts w:ascii="Arial"/>
                <w:sz w:val="21"/>
              </w:rPr>
            </w:pPr>
          </w:p>
        </w:tc>
        <w:tc>
          <w:tcPr>
            <w:tcW w:w="2128" w:type="dxa"/>
            <w:vAlign w:val="top"/>
          </w:tcPr>
          <w:p w14:paraId="2DD1268F">
            <w:pPr>
              <w:pStyle w:val="6"/>
              <w:spacing w:before="58" w:line="219" w:lineRule="auto"/>
              <w:ind w:left="743"/>
            </w:pPr>
            <w:r>
              <w:rPr>
                <w:spacing w:val="-2"/>
              </w:rPr>
              <w:t>姬东英</w:t>
            </w:r>
          </w:p>
        </w:tc>
        <w:tc>
          <w:tcPr>
            <w:tcW w:w="2128" w:type="dxa"/>
            <w:vAlign w:val="top"/>
          </w:tcPr>
          <w:p w14:paraId="1E8420F8">
            <w:pPr>
              <w:pStyle w:val="6"/>
              <w:spacing w:before="58" w:line="219" w:lineRule="auto"/>
              <w:ind w:left="745"/>
            </w:pPr>
            <w:r>
              <w:rPr>
                <w:spacing w:val="3"/>
              </w:rPr>
              <w:t>副局长</w:t>
            </w:r>
          </w:p>
        </w:tc>
        <w:tc>
          <w:tcPr>
            <w:tcW w:w="2142" w:type="dxa"/>
            <w:vAlign w:val="top"/>
          </w:tcPr>
          <w:p w14:paraId="1B359A49">
            <w:pPr>
              <w:pStyle w:val="6"/>
              <w:spacing w:before="79" w:line="202" w:lineRule="auto"/>
              <w:ind w:left="487"/>
            </w:pPr>
            <w:r>
              <w:rPr>
                <w:color w:val="404050"/>
                <w:spacing w:val="-2"/>
              </w:rPr>
              <w:t>15547254454</w:t>
            </w:r>
          </w:p>
        </w:tc>
      </w:tr>
      <w:tr w14:paraId="109CE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tcBorders>
            <w:vAlign w:val="top"/>
          </w:tcPr>
          <w:p w14:paraId="1417AF96">
            <w:pPr>
              <w:rPr>
                <w:rFonts w:ascii="Arial"/>
                <w:sz w:val="21"/>
              </w:rPr>
            </w:pPr>
          </w:p>
        </w:tc>
        <w:tc>
          <w:tcPr>
            <w:tcW w:w="2128" w:type="dxa"/>
            <w:vAlign w:val="top"/>
          </w:tcPr>
          <w:p w14:paraId="1EC95D56">
            <w:pPr>
              <w:pStyle w:val="6"/>
              <w:spacing w:before="48" w:line="219" w:lineRule="auto"/>
              <w:ind w:left="743"/>
            </w:pPr>
            <w:r>
              <w:rPr>
                <w:spacing w:val="3"/>
              </w:rPr>
              <w:t>陈权罡</w:t>
            </w:r>
          </w:p>
        </w:tc>
        <w:tc>
          <w:tcPr>
            <w:tcW w:w="2128" w:type="dxa"/>
            <w:vAlign w:val="top"/>
          </w:tcPr>
          <w:p w14:paraId="53D417B4">
            <w:pPr>
              <w:pStyle w:val="6"/>
              <w:spacing w:before="49" w:line="219" w:lineRule="auto"/>
              <w:ind w:left="324"/>
            </w:pPr>
            <w:r>
              <w:rPr>
                <w:spacing w:val="-2"/>
              </w:rPr>
              <w:t>监察大队大队长</w:t>
            </w:r>
          </w:p>
        </w:tc>
        <w:tc>
          <w:tcPr>
            <w:tcW w:w="2142" w:type="dxa"/>
            <w:vAlign w:val="top"/>
          </w:tcPr>
          <w:p w14:paraId="485B610E">
            <w:pPr>
              <w:pStyle w:val="6"/>
              <w:spacing w:before="70" w:line="202" w:lineRule="auto"/>
              <w:ind w:left="487"/>
            </w:pPr>
            <w:r>
              <w:rPr>
                <w:spacing w:val="-2"/>
              </w:rPr>
              <w:t>13847281705</w:t>
            </w:r>
          </w:p>
        </w:tc>
      </w:tr>
      <w:tr w14:paraId="15892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142" w:type="dxa"/>
            <w:vMerge w:val="restart"/>
            <w:tcBorders>
              <w:bottom w:val="nil"/>
            </w:tcBorders>
            <w:vAlign w:val="top"/>
          </w:tcPr>
          <w:p w14:paraId="3A70D6E3">
            <w:pPr>
              <w:spacing w:line="310" w:lineRule="auto"/>
              <w:rPr>
                <w:rFonts w:ascii="Arial"/>
                <w:sz w:val="21"/>
              </w:rPr>
            </w:pPr>
          </w:p>
          <w:p w14:paraId="666B644C">
            <w:pPr>
              <w:pStyle w:val="6"/>
              <w:spacing w:before="68" w:line="220" w:lineRule="auto"/>
              <w:ind w:left="325"/>
            </w:pPr>
            <w:r>
              <w:rPr>
                <w:spacing w:val="2"/>
              </w:rPr>
              <w:t>石拐区公安分局</w:t>
            </w:r>
          </w:p>
        </w:tc>
        <w:tc>
          <w:tcPr>
            <w:tcW w:w="2128" w:type="dxa"/>
            <w:vAlign w:val="top"/>
          </w:tcPr>
          <w:p w14:paraId="7C1AF13B">
            <w:pPr>
              <w:pStyle w:val="6"/>
              <w:spacing w:before="48" w:line="211" w:lineRule="auto"/>
              <w:ind w:left="743"/>
            </w:pPr>
            <w:r>
              <w:rPr>
                <w:color w:val="305050"/>
                <w:spacing w:val="2"/>
              </w:rPr>
              <w:t>祁文青</w:t>
            </w:r>
          </w:p>
        </w:tc>
        <w:tc>
          <w:tcPr>
            <w:tcW w:w="2128" w:type="dxa"/>
            <w:vAlign w:val="top"/>
          </w:tcPr>
          <w:p w14:paraId="2B0A5EFB">
            <w:pPr>
              <w:pStyle w:val="6"/>
              <w:spacing w:before="51" w:line="209" w:lineRule="auto"/>
              <w:ind w:left="844"/>
            </w:pPr>
            <w:r>
              <w:rPr>
                <w:color w:val="306060"/>
                <w:spacing w:val="4"/>
              </w:rPr>
              <w:t>局长</w:t>
            </w:r>
          </w:p>
        </w:tc>
        <w:tc>
          <w:tcPr>
            <w:tcW w:w="2142" w:type="dxa"/>
            <w:vAlign w:val="top"/>
          </w:tcPr>
          <w:p w14:paraId="57DDE626">
            <w:pPr>
              <w:pStyle w:val="6"/>
              <w:spacing w:before="70" w:line="192" w:lineRule="auto"/>
              <w:ind w:left="487"/>
            </w:pPr>
            <w:r>
              <w:rPr>
                <w:color w:val="406060"/>
                <w:spacing w:val="-2"/>
              </w:rPr>
              <w:t>15848284999</w:t>
            </w:r>
          </w:p>
        </w:tc>
      </w:tr>
      <w:tr w14:paraId="56583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continue"/>
            <w:tcBorders>
              <w:top w:val="nil"/>
              <w:bottom w:val="nil"/>
            </w:tcBorders>
            <w:vAlign w:val="top"/>
          </w:tcPr>
          <w:p w14:paraId="5B8E9810">
            <w:pPr>
              <w:rPr>
                <w:rFonts w:ascii="Arial"/>
                <w:sz w:val="21"/>
              </w:rPr>
            </w:pPr>
          </w:p>
        </w:tc>
        <w:tc>
          <w:tcPr>
            <w:tcW w:w="2128" w:type="dxa"/>
            <w:vAlign w:val="top"/>
          </w:tcPr>
          <w:p w14:paraId="6D7FF4C1">
            <w:pPr>
              <w:pStyle w:val="6"/>
              <w:spacing w:before="60" w:line="219" w:lineRule="auto"/>
              <w:ind w:left="743"/>
            </w:pPr>
            <w:r>
              <w:rPr>
                <w:spacing w:val="2"/>
              </w:rPr>
              <w:t>张飞雄</w:t>
            </w:r>
          </w:p>
        </w:tc>
        <w:tc>
          <w:tcPr>
            <w:tcW w:w="2128" w:type="dxa"/>
            <w:vAlign w:val="top"/>
          </w:tcPr>
          <w:p w14:paraId="2595A062">
            <w:pPr>
              <w:pStyle w:val="6"/>
              <w:spacing w:before="60" w:line="219" w:lineRule="auto"/>
              <w:ind w:left="745"/>
            </w:pPr>
            <w:r>
              <w:rPr>
                <w:spacing w:val="3"/>
              </w:rPr>
              <w:t>副局长</w:t>
            </w:r>
          </w:p>
        </w:tc>
        <w:tc>
          <w:tcPr>
            <w:tcW w:w="2142" w:type="dxa"/>
            <w:vAlign w:val="top"/>
          </w:tcPr>
          <w:p w14:paraId="63ADEF2D">
            <w:pPr>
              <w:pStyle w:val="6"/>
              <w:spacing w:before="81" w:line="201" w:lineRule="auto"/>
              <w:ind w:left="487"/>
            </w:pPr>
            <w:r>
              <w:rPr>
                <w:spacing w:val="-2"/>
              </w:rPr>
              <w:t>15847288971</w:t>
            </w:r>
          </w:p>
        </w:tc>
      </w:tr>
      <w:tr w14:paraId="11530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42" w:type="dxa"/>
            <w:vMerge w:val="continue"/>
            <w:tcBorders>
              <w:top w:val="nil"/>
            </w:tcBorders>
            <w:vAlign w:val="top"/>
          </w:tcPr>
          <w:p w14:paraId="55194F4A">
            <w:pPr>
              <w:rPr>
                <w:rFonts w:ascii="Arial"/>
                <w:sz w:val="21"/>
              </w:rPr>
            </w:pPr>
          </w:p>
        </w:tc>
        <w:tc>
          <w:tcPr>
            <w:tcW w:w="2128" w:type="dxa"/>
            <w:vAlign w:val="top"/>
          </w:tcPr>
          <w:p w14:paraId="2FD878D8">
            <w:pPr>
              <w:pStyle w:val="6"/>
              <w:spacing w:before="59" w:line="219" w:lineRule="auto"/>
              <w:ind w:left="743"/>
            </w:pPr>
            <w:r>
              <w:rPr>
                <w:spacing w:val="4"/>
              </w:rPr>
              <w:t>李大伟</w:t>
            </w:r>
          </w:p>
        </w:tc>
        <w:tc>
          <w:tcPr>
            <w:tcW w:w="2128" w:type="dxa"/>
            <w:vAlign w:val="top"/>
          </w:tcPr>
          <w:p w14:paraId="571CDCE0">
            <w:pPr>
              <w:pStyle w:val="6"/>
              <w:spacing w:before="59" w:line="219" w:lineRule="auto"/>
              <w:ind w:left="534"/>
            </w:pPr>
            <w:r>
              <w:rPr>
                <w:spacing w:val="1"/>
              </w:rPr>
              <w:t>办公室主任</w:t>
            </w:r>
          </w:p>
        </w:tc>
        <w:tc>
          <w:tcPr>
            <w:tcW w:w="2142" w:type="dxa"/>
            <w:vAlign w:val="top"/>
          </w:tcPr>
          <w:p w14:paraId="71F970EC">
            <w:pPr>
              <w:pStyle w:val="6"/>
              <w:spacing w:before="81" w:line="200" w:lineRule="auto"/>
              <w:ind w:left="487"/>
            </w:pPr>
            <w:r>
              <w:rPr>
                <w:spacing w:val="-2"/>
              </w:rPr>
              <w:t>13789621592</w:t>
            </w:r>
          </w:p>
        </w:tc>
      </w:tr>
      <w:tr w14:paraId="2ACF1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142" w:type="dxa"/>
            <w:vMerge w:val="restart"/>
            <w:tcBorders>
              <w:bottom w:val="nil"/>
            </w:tcBorders>
            <w:vAlign w:val="top"/>
          </w:tcPr>
          <w:p w14:paraId="3177BF13">
            <w:pPr>
              <w:spacing w:line="302" w:lineRule="auto"/>
              <w:rPr>
                <w:rFonts w:ascii="Arial"/>
                <w:sz w:val="21"/>
              </w:rPr>
            </w:pPr>
          </w:p>
          <w:p w14:paraId="64918C16">
            <w:pPr>
              <w:pStyle w:val="6"/>
              <w:spacing w:before="68" w:line="220" w:lineRule="auto"/>
              <w:ind w:left="435"/>
            </w:pPr>
            <w:r>
              <w:rPr>
                <w:spacing w:val="-2"/>
              </w:rPr>
              <w:t>石拐区卫健委</w:t>
            </w:r>
          </w:p>
        </w:tc>
        <w:tc>
          <w:tcPr>
            <w:tcW w:w="2128" w:type="dxa"/>
            <w:vAlign w:val="top"/>
          </w:tcPr>
          <w:p w14:paraId="72405CBA">
            <w:pPr>
              <w:pStyle w:val="6"/>
              <w:spacing w:before="51" w:line="210" w:lineRule="auto"/>
              <w:ind w:left="843"/>
            </w:pPr>
            <w:r>
              <w:rPr>
                <w:spacing w:val="4"/>
              </w:rPr>
              <w:t>张敏</w:t>
            </w:r>
          </w:p>
        </w:tc>
        <w:tc>
          <w:tcPr>
            <w:tcW w:w="2128" w:type="dxa"/>
            <w:vAlign w:val="top"/>
          </w:tcPr>
          <w:p w14:paraId="62CD8653">
            <w:pPr>
              <w:pStyle w:val="6"/>
              <w:spacing w:before="51" w:line="210" w:lineRule="auto"/>
              <w:ind w:left="844"/>
            </w:pPr>
            <w:r>
              <w:rPr>
                <w:spacing w:val="-3"/>
              </w:rPr>
              <w:t>主任</w:t>
            </w:r>
          </w:p>
        </w:tc>
        <w:tc>
          <w:tcPr>
            <w:tcW w:w="2142" w:type="dxa"/>
            <w:vAlign w:val="top"/>
          </w:tcPr>
          <w:p w14:paraId="4669DB32">
            <w:pPr>
              <w:pStyle w:val="6"/>
              <w:spacing w:before="72" w:line="191" w:lineRule="auto"/>
              <w:ind w:left="487"/>
            </w:pPr>
            <w:r>
              <w:rPr>
                <w:spacing w:val="-2"/>
              </w:rPr>
              <w:t>15540286280</w:t>
            </w:r>
          </w:p>
        </w:tc>
      </w:tr>
      <w:tr w14:paraId="5D6F7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bottom w:val="nil"/>
            </w:tcBorders>
            <w:vAlign w:val="top"/>
          </w:tcPr>
          <w:p w14:paraId="42C82B96">
            <w:pPr>
              <w:rPr>
                <w:rFonts w:ascii="Arial"/>
                <w:sz w:val="21"/>
              </w:rPr>
            </w:pPr>
          </w:p>
        </w:tc>
        <w:tc>
          <w:tcPr>
            <w:tcW w:w="2128" w:type="dxa"/>
            <w:vAlign w:val="top"/>
          </w:tcPr>
          <w:p w14:paraId="5EA3B8AD">
            <w:pPr>
              <w:pStyle w:val="6"/>
              <w:spacing w:before="50" w:line="219" w:lineRule="auto"/>
              <w:ind w:left="843"/>
            </w:pPr>
            <w:r>
              <w:rPr>
                <w:spacing w:val="-3"/>
              </w:rPr>
              <w:t>渠娜</w:t>
            </w:r>
          </w:p>
        </w:tc>
        <w:tc>
          <w:tcPr>
            <w:tcW w:w="2128" w:type="dxa"/>
            <w:vAlign w:val="top"/>
          </w:tcPr>
          <w:p w14:paraId="5217B485">
            <w:pPr>
              <w:pStyle w:val="6"/>
              <w:spacing w:before="50" w:line="219" w:lineRule="auto"/>
              <w:ind w:left="745"/>
            </w:pPr>
            <w:r>
              <w:rPr>
                <w:spacing w:val="2"/>
              </w:rPr>
              <w:t>副主任</w:t>
            </w:r>
          </w:p>
        </w:tc>
        <w:tc>
          <w:tcPr>
            <w:tcW w:w="2142" w:type="dxa"/>
            <w:vAlign w:val="top"/>
          </w:tcPr>
          <w:p w14:paraId="054C5AFA">
            <w:pPr>
              <w:pStyle w:val="6"/>
              <w:spacing w:before="72" w:line="200" w:lineRule="auto"/>
              <w:ind w:left="487"/>
            </w:pPr>
            <w:r>
              <w:rPr>
                <w:spacing w:val="-2"/>
              </w:rPr>
              <w:t>13947241622</w:t>
            </w:r>
          </w:p>
        </w:tc>
      </w:tr>
      <w:tr w14:paraId="18444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continue"/>
            <w:tcBorders>
              <w:top w:val="nil"/>
            </w:tcBorders>
            <w:vAlign w:val="top"/>
          </w:tcPr>
          <w:p w14:paraId="5CB25B12">
            <w:pPr>
              <w:rPr>
                <w:rFonts w:ascii="Arial"/>
                <w:sz w:val="21"/>
              </w:rPr>
            </w:pPr>
          </w:p>
        </w:tc>
        <w:tc>
          <w:tcPr>
            <w:tcW w:w="2128" w:type="dxa"/>
            <w:vAlign w:val="top"/>
          </w:tcPr>
          <w:p w14:paraId="491C256B">
            <w:pPr>
              <w:pStyle w:val="6"/>
              <w:spacing w:before="60" w:line="219" w:lineRule="auto"/>
              <w:ind w:left="743"/>
            </w:pPr>
            <w:r>
              <w:rPr>
                <w:spacing w:val="3"/>
              </w:rPr>
              <w:t>吴丽霞</w:t>
            </w:r>
          </w:p>
        </w:tc>
        <w:tc>
          <w:tcPr>
            <w:tcW w:w="2128" w:type="dxa"/>
            <w:vAlign w:val="top"/>
          </w:tcPr>
          <w:p w14:paraId="07644BB1">
            <w:pPr>
              <w:pStyle w:val="6"/>
              <w:spacing w:before="60" w:line="219" w:lineRule="auto"/>
              <w:ind w:left="534"/>
            </w:pPr>
            <w:r>
              <w:rPr>
                <w:spacing w:val="1"/>
              </w:rPr>
              <w:t>办公室主任</w:t>
            </w:r>
          </w:p>
        </w:tc>
        <w:tc>
          <w:tcPr>
            <w:tcW w:w="2142" w:type="dxa"/>
            <w:vAlign w:val="top"/>
          </w:tcPr>
          <w:p w14:paraId="58684F3C">
            <w:pPr>
              <w:pStyle w:val="6"/>
              <w:spacing w:before="82" w:line="200" w:lineRule="auto"/>
              <w:ind w:left="487"/>
            </w:pPr>
            <w:r>
              <w:rPr>
                <w:spacing w:val="-2"/>
              </w:rPr>
              <w:t>13848008940</w:t>
            </w:r>
          </w:p>
        </w:tc>
      </w:tr>
      <w:tr w14:paraId="6F801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restart"/>
            <w:tcBorders>
              <w:bottom w:val="nil"/>
            </w:tcBorders>
            <w:vAlign w:val="top"/>
          </w:tcPr>
          <w:p w14:paraId="58A05481">
            <w:pPr>
              <w:pStyle w:val="6"/>
              <w:spacing w:before="220" w:line="274" w:lineRule="auto"/>
              <w:ind w:left="955" w:right="98" w:hanging="840"/>
            </w:pPr>
            <w:r>
              <w:rPr>
                <w:spacing w:val="3"/>
              </w:rPr>
              <w:t>石拐区发展改革委员</w:t>
            </w:r>
            <w:r>
              <w:t xml:space="preserve"> 会</w:t>
            </w:r>
          </w:p>
        </w:tc>
        <w:tc>
          <w:tcPr>
            <w:tcW w:w="2128" w:type="dxa"/>
            <w:vAlign w:val="top"/>
          </w:tcPr>
          <w:p w14:paraId="41D4B8C3">
            <w:pPr>
              <w:pStyle w:val="6"/>
              <w:spacing w:before="52" w:line="218" w:lineRule="auto"/>
              <w:ind w:left="843"/>
            </w:pPr>
            <w:r>
              <w:rPr>
                <w:spacing w:val="4"/>
              </w:rPr>
              <w:t>马斌</w:t>
            </w:r>
          </w:p>
        </w:tc>
        <w:tc>
          <w:tcPr>
            <w:tcW w:w="2128" w:type="dxa"/>
            <w:vAlign w:val="top"/>
          </w:tcPr>
          <w:p w14:paraId="3135839F">
            <w:pPr>
              <w:pStyle w:val="6"/>
              <w:spacing w:before="50" w:line="219" w:lineRule="auto"/>
              <w:ind w:left="844"/>
            </w:pPr>
            <w:r>
              <w:rPr>
                <w:spacing w:val="-3"/>
              </w:rPr>
              <w:t>主任</w:t>
            </w:r>
          </w:p>
        </w:tc>
        <w:tc>
          <w:tcPr>
            <w:tcW w:w="2142" w:type="dxa"/>
            <w:vAlign w:val="top"/>
          </w:tcPr>
          <w:p w14:paraId="186F10CB">
            <w:pPr>
              <w:pStyle w:val="6"/>
              <w:spacing w:before="72" w:line="200" w:lineRule="auto"/>
              <w:ind w:left="487"/>
            </w:pPr>
            <w:r>
              <w:rPr>
                <w:spacing w:val="-2"/>
              </w:rPr>
              <w:t>13848210362</w:t>
            </w:r>
          </w:p>
        </w:tc>
      </w:tr>
      <w:tr w14:paraId="10937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bottom w:val="nil"/>
            </w:tcBorders>
            <w:vAlign w:val="top"/>
          </w:tcPr>
          <w:p w14:paraId="568B1979">
            <w:pPr>
              <w:rPr>
                <w:rFonts w:ascii="Arial"/>
                <w:sz w:val="21"/>
              </w:rPr>
            </w:pPr>
          </w:p>
        </w:tc>
        <w:tc>
          <w:tcPr>
            <w:tcW w:w="2128" w:type="dxa"/>
            <w:vAlign w:val="top"/>
          </w:tcPr>
          <w:p w14:paraId="3CC6685C">
            <w:pPr>
              <w:pStyle w:val="6"/>
              <w:spacing w:before="52" w:line="218" w:lineRule="auto"/>
              <w:ind w:left="843"/>
            </w:pPr>
            <w:r>
              <w:rPr>
                <w:spacing w:val="13"/>
              </w:rPr>
              <w:t>姜山</w:t>
            </w:r>
          </w:p>
        </w:tc>
        <w:tc>
          <w:tcPr>
            <w:tcW w:w="2128" w:type="dxa"/>
            <w:vAlign w:val="top"/>
          </w:tcPr>
          <w:p w14:paraId="3501380E">
            <w:pPr>
              <w:pStyle w:val="6"/>
              <w:spacing w:before="50" w:line="219" w:lineRule="auto"/>
              <w:ind w:left="745"/>
            </w:pPr>
            <w:r>
              <w:rPr>
                <w:spacing w:val="2"/>
              </w:rPr>
              <w:t>副主任</w:t>
            </w:r>
          </w:p>
        </w:tc>
        <w:tc>
          <w:tcPr>
            <w:tcW w:w="2142" w:type="dxa"/>
            <w:vAlign w:val="top"/>
          </w:tcPr>
          <w:p w14:paraId="505D2915">
            <w:pPr>
              <w:pStyle w:val="6"/>
              <w:spacing w:before="72" w:line="200" w:lineRule="auto"/>
              <w:ind w:left="487"/>
            </w:pPr>
            <w:r>
              <w:rPr>
                <w:spacing w:val="-2"/>
              </w:rPr>
              <w:t>15947124968</w:t>
            </w:r>
          </w:p>
        </w:tc>
      </w:tr>
      <w:tr w14:paraId="5F962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tcBorders>
            <w:vAlign w:val="top"/>
          </w:tcPr>
          <w:p w14:paraId="1F75C566">
            <w:pPr>
              <w:rPr>
                <w:rFonts w:ascii="Arial"/>
                <w:sz w:val="21"/>
              </w:rPr>
            </w:pPr>
          </w:p>
        </w:tc>
        <w:tc>
          <w:tcPr>
            <w:tcW w:w="2128" w:type="dxa"/>
            <w:vAlign w:val="top"/>
          </w:tcPr>
          <w:p w14:paraId="668CB862">
            <w:pPr>
              <w:pStyle w:val="6"/>
              <w:spacing w:before="52" w:line="218" w:lineRule="auto"/>
              <w:ind w:left="843"/>
            </w:pPr>
            <w:r>
              <w:rPr>
                <w:spacing w:val="-3"/>
              </w:rPr>
              <w:t>孙博</w:t>
            </w:r>
          </w:p>
        </w:tc>
        <w:tc>
          <w:tcPr>
            <w:tcW w:w="2128" w:type="dxa"/>
            <w:vAlign w:val="top"/>
          </w:tcPr>
          <w:p w14:paraId="1B61CF6E">
            <w:pPr>
              <w:pStyle w:val="6"/>
              <w:spacing w:before="50" w:line="219" w:lineRule="auto"/>
              <w:ind w:left="534"/>
            </w:pPr>
            <w:r>
              <w:rPr>
                <w:spacing w:val="1"/>
              </w:rPr>
              <w:t>办公室主任</w:t>
            </w:r>
          </w:p>
        </w:tc>
        <w:tc>
          <w:tcPr>
            <w:tcW w:w="2142" w:type="dxa"/>
            <w:vAlign w:val="top"/>
          </w:tcPr>
          <w:p w14:paraId="76039CE9">
            <w:pPr>
              <w:pStyle w:val="6"/>
              <w:spacing w:before="72" w:line="200" w:lineRule="auto"/>
              <w:ind w:left="487"/>
            </w:pPr>
            <w:r>
              <w:rPr>
                <w:spacing w:val="-2"/>
              </w:rPr>
              <w:t>15344224111</w:t>
            </w:r>
          </w:p>
        </w:tc>
      </w:tr>
      <w:tr w14:paraId="4984E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42" w:type="dxa"/>
            <w:vMerge w:val="restart"/>
            <w:tcBorders>
              <w:bottom w:val="nil"/>
            </w:tcBorders>
            <w:vAlign w:val="top"/>
          </w:tcPr>
          <w:p w14:paraId="417B45E3">
            <w:pPr>
              <w:spacing w:line="312" w:lineRule="auto"/>
              <w:rPr>
                <w:rFonts w:ascii="Arial"/>
                <w:sz w:val="21"/>
              </w:rPr>
            </w:pPr>
          </w:p>
          <w:p w14:paraId="76AA101A">
            <w:pPr>
              <w:pStyle w:val="6"/>
              <w:spacing w:before="68" w:line="220" w:lineRule="auto"/>
              <w:ind w:left="435"/>
            </w:pPr>
            <w:r>
              <w:rPr>
                <w:spacing w:val="3"/>
              </w:rPr>
              <w:t>石拐区司法局</w:t>
            </w:r>
          </w:p>
        </w:tc>
        <w:tc>
          <w:tcPr>
            <w:tcW w:w="2128" w:type="dxa"/>
            <w:vAlign w:val="top"/>
          </w:tcPr>
          <w:p w14:paraId="0F81C9D2">
            <w:pPr>
              <w:pStyle w:val="6"/>
              <w:spacing w:before="61" w:line="218" w:lineRule="auto"/>
              <w:ind w:left="743"/>
            </w:pPr>
            <w:r>
              <w:rPr>
                <w:spacing w:val="7"/>
              </w:rPr>
              <w:t>刘晓明</w:t>
            </w:r>
          </w:p>
        </w:tc>
        <w:tc>
          <w:tcPr>
            <w:tcW w:w="2128" w:type="dxa"/>
            <w:vAlign w:val="top"/>
          </w:tcPr>
          <w:p w14:paraId="08A3C7C6">
            <w:pPr>
              <w:pStyle w:val="6"/>
              <w:spacing w:before="63" w:line="216" w:lineRule="auto"/>
              <w:ind w:left="844"/>
            </w:pPr>
            <w:r>
              <w:rPr>
                <w:spacing w:val="4"/>
              </w:rPr>
              <w:t>局长</w:t>
            </w:r>
          </w:p>
        </w:tc>
        <w:tc>
          <w:tcPr>
            <w:tcW w:w="2142" w:type="dxa"/>
            <w:vAlign w:val="top"/>
          </w:tcPr>
          <w:p w14:paraId="218E236A">
            <w:pPr>
              <w:pStyle w:val="6"/>
              <w:spacing w:before="82" w:line="199" w:lineRule="auto"/>
              <w:ind w:left="487"/>
            </w:pPr>
            <w:r>
              <w:rPr>
                <w:spacing w:val="-2"/>
              </w:rPr>
              <w:t>15848636822</w:t>
            </w:r>
          </w:p>
        </w:tc>
      </w:tr>
      <w:tr w14:paraId="7E9C5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bottom w:val="nil"/>
            </w:tcBorders>
            <w:vAlign w:val="top"/>
          </w:tcPr>
          <w:p w14:paraId="3A8F9664">
            <w:pPr>
              <w:rPr>
                <w:rFonts w:ascii="Arial"/>
                <w:sz w:val="21"/>
              </w:rPr>
            </w:pPr>
          </w:p>
        </w:tc>
        <w:tc>
          <w:tcPr>
            <w:tcW w:w="2128" w:type="dxa"/>
            <w:vAlign w:val="top"/>
          </w:tcPr>
          <w:p w14:paraId="0F68BDF3">
            <w:pPr>
              <w:pStyle w:val="6"/>
              <w:spacing w:before="52" w:line="218" w:lineRule="auto"/>
              <w:ind w:left="633"/>
            </w:pPr>
            <w:r>
              <w:rPr>
                <w:spacing w:val="2"/>
              </w:rPr>
              <w:t>云陶格斯</w:t>
            </w:r>
          </w:p>
        </w:tc>
        <w:tc>
          <w:tcPr>
            <w:tcW w:w="2128" w:type="dxa"/>
            <w:vAlign w:val="top"/>
          </w:tcPr>
          <w:p w14:paraId="4BD77230">
            <w:pPr>
              <w:pStyle w:val="6"/>
              <w:spacing w:before="52" w:line="218" w:lineRule="auto"/>
              <w:ind w:left="745"/>
            </w:pPr>
            <w:r>
              <w:rPr>
                <w:color w:val="203040"/>
                <w:spacing w:val="6"/>
              </w:rPr>
              <w:t>副局</w:t>
            </w:r>
            <w:r>
              <w:rPr>
                <w:color w:val="404050"/>
                <w:spacing w:val="6"/>
              </w:rPr>
              <w:t>长</w:t>
            </w:r>
          </w:p>
        </w:tc>
        <w:tc>
          <w:tcPr>
            <w:tcW w:w="2142" w:type="dxa"/>
            <w:vAlign w:val="top"/>
          </w:tcPr>
          <w:p w14:paraId="7919D559">
            <w:pPr>
              <w:pStyle w:val="6"/>
              <w:spacing w:before="73" w:line="199" w:lineRule="auto"/>
              <w:ind w:left="487"/>
            </w:pPr>
            <w:r>
              <w:rPr>
                <w:spacing w:val="-2"/>
              </w:rPr>
              <w:t>13848290733</w:t>
            </w:r>
          </w:p>
        </w:tc>
      </w:tr>
      <w:tr w14:paraId="15613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tcBorders>
            <w:vAlign w:val="top"/>
          </w:tcPr>
          <w:p w14:paraId="3760A198">
            <w:pPr>
              <w:rPr>
                <w:rFonts w:ascii="Arial"/>
                <w:sz w:val="21"/>
              </w:rPr>
            </w:pPr>
          </w:p>
        </w:tc>
        <w:tc>
          <w:tcPr>
            <w:tcW w:w="2128" w:type="dxa"/>
            <w:vAlign w:val="top"/>
          </w:tcPr>
          <w:p w14:paraId="4E850DB3">
            <w:pPr>
              <w:pStyle w:val="6"/>
              <w:spacing w:before="53" w:line="217" w:lineRule="auto"/>
              <w:ind w:left="843"/>
            </w:pPr>
            <w:r>
              <w:rPr>
                <w:spacing w:val="-3"/>
              </w:rPr>
              <w:t>罗琴</w:t>
            </w:r>
          </w:p>
        </w:tc>
        <w:tc>
          <w:tcPr>
            <w:tcW w:w="2128" w:type="dxa"/>
            <w:vAlign w:val="top"/>
          </w:tcPr>
          <w:p w14:paraId="6A63FE5D">
            <w:pPr>
              <w:pStyle w:val="6"/>
              <w:spacing w:before="52" w:line="218" w:lineRule="auto"/>
              <w:ind w:left="534"/>
            </w:pPr>
            <w:r>
              <w:rPr>
                <w:color w:val="305050"/>
                <w:spacing w:val="1"/>
              </w:rPr>
              <w:t>办公室主任</w:t>
            </w:r>
          </w:p>
        </w:tc>
        <w:tc>
          <w:tcPr>
            <w:tcW w:w="2142" w:type="dxa"/>
            <w:vAlign w:val="top"/>
          </w:tcPr>
          <w:p w14:paraId="3F9A1173">
            <w:pPr>
              <w:pStyle w:val="6"/>
              <w:spacing w:before="73" w:line="199" w:lineRule="auto"/>
              <w:ind w:left="487"/>
            </w:pPr>
            <w:r>
              <w:rPr>
                <w:color w:val="304040"/>
                <w:spacing w:val="-2"/>
              </w:rPr>
              <w:t>15661313520</w:t>
            </w:r>
          </w:p>
        </w:tc>
      </w:tr>
      <w:tr w14:paraId="2171A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142" w:type="dxa"/>
            <w:vMerge w:val="restart"/>
            <w:tcBorders>
              <w:bottom w:val="nil"/>
            </w:tcBorders>
            <w:vAlign w:val="top"/>
          </w:tcPr>
          <w:p w14:paraId="3ECEC96F">
            <w:pPr>
              <w:pStyle w:val="6"/>
              <w:spacing w:before="243" w:line="220" w:lineRule="auto"/>
              <w:ind w:left="435"/>
            </w:pPr>
            <w:r>
              <w:rPr>
                <w:spacing w:val="3"/>
              </w:rPr>
              <w:t>石拐区财政局</w:t>
            </w:r>
          </w:p>
        </w:tc>
        <w:tc>
          <w:tcPr>
            <w:tcW w:w="2128" w:type="dxa"/>
            <w:vAlign w:val="top"/>
          </w:tcPr>
          <w:p w14:paraId="5E2A40CC">
            <w:pPr>
              <w:pStyle w:val="6"/>
              <w:spacing w:before="82" w:line="219" w:lineRule="auto"/>
              <w:ind w:left="843"/>
            </w:pPr>
            <w:r>
              <w:rPr>
                <w:spacing w:val="4"/>
              </w:rPr>
              <w:t>肖峰</w:t>
            </w:r>
          </w:p>
        </w:tc>
        <w:tc>
          <w:tcPr>
            <w:tcW w:w="2128" w:type="dxa"/>
            <w:vAlign w:val="top"/>
          </w:tcPr>
          <w:p w14:paraId="40A5BBDC">
            <w:pPr>
              <w:pStyle w:val="6"/>
              <w:spacing w:before="82" w:line="219" w:lineRule="auto"/>
              <w:ind w:left="745"/>
            </w:pPr>
            <w:r>
              <w:rPr>
                <w:spacing w:val="3"/>
              </w:rPr>
              <w:t>副局长</w:t>
            </w:r>
          </w:p>
        </w:tc>
        <w:tc>
          <w:tcPr>
            <w:tcW w:w="2142" w:type="dxa"/>
            <w:vAlign w:val="top"/>
          </w:tcPr>
          <w:p w14:paraId="3BAA225D">
            <w:pPr>
              <w:pStyle w:val="6"/>
              <w:spacing w:before="104" w:line="225" w:lineRule="auto"/>
              <w:ind w:left="487"/>
            </w:pPr>
            <w:r>
              <w:rPr>
                <w:spacing w:val="-2"/>
              </w:rPr>
              <w:t>13847283076</w:t>
            </w:r>
          </w:p>
        </w:tc>
      </w:tr>
      <w:tr w14:paraId="72CC3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tcBorders>
            <w:vAlign w:val="top"/>
          </w:tcPr>
          <w:p w14:paraId="05D09FAF">
            <w:pPr>
              <w:rPr>
                <w:rFonts w:ascii="Arial"/>
                <w:sz w:val="21"/>
              </w:rPr>
            </w:pPr>
          </w:p>
        </w:tc>
        <w:tc>
          <w:tcPr>
            <w:tcW w:w="2128" w:type="dxa"/>
            <w:vAlign w:val="top"/>
          </w:tcPr>
          <w:p w14:paraId="2D2A12C2">
            <w:pPr>
              <w:pStyle w:val="6"/>
              <w:spacing w:before="53" w:line="217" w:lineRule="auto"/>
              <w:ind w:left="843"/>
            </w:pPr>
            <w:r>
              <w:rPr>
                <w:spacing w:val="-3"/>
              </w:rPr>
              <w:t>邢研</w:t>
            </w:r>
          </w:p>
        </w:tc>
        <w:tc>
          <w:tcPr>
            <w:tcW w:w="2128" w:type="dxa"/>
            <w:vAlign w:val="top"/>
          </w:tcPr>
          <w:p w14:paraId="189C5940">
            <w:pPr>
              <w:pStyle w:val="6"/>
              <w:spacing w:before="52" w:line="218" w:lineRule="auto"/>
              <w:ind w:left="534"/>
            </w:pPr>
            <w:r>
              <w:rPr>
                <w:color w:val="404050"/>
                <w:spacing w:val="1"/>
              </w:rPr>
              <w:t>办公室主任</w:t>
            </w:r>
          </w:p>
        </w:tc>
        <w:tc>
          <w:tcPr>
            <w:tcW w:w="2142" w:type="dxa"/>
            <w:vAlign w:val="top"/>
          </w:tcPr>
          <w:p w14:paraId="419289E8">
            <w:pPr>
              <w:pStyle w:val="6"/>
              <w:spacing w:before="73" w:line="199" w:lineRule="auto"/>
              <w:ind w:left="487"/>
            </w:pPr>
            <w:r>
              <w:rPr>
                <w:color w:val="405050"/>
                <w:spacing w:val="-2"/>
              </w:rPr>
              <w:t>13664038606</w:t>
            </w:r>
          </w:p>
        </w:tc>
      </w:tr>
      <w:tr w14:paraId="39725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142" w:type="dxa"/>
            <w:vMerge w:val="restart"/>
            <w:tcBorders>
              <w:bottom w:val="nil"/>
            </w:tcBorders>
            <w:vAlign w:val="top"/>
          </w:tcPr>
          <w:p w14:paraId="02A6F406">
            <w:pPr>
              <w:spacing w:line="313" w:lineRule="auto"/>
              <w:rPr>
                <w:rFonts w:ascii="Arial"/>
                <w:sz w:val="21"/>
              </w:rPr>
            </w:pPr>
          </w:p>
          <w:p w14:paraId="78F936E4">
            <w:pPr>
              <w:pStyle w:val="6"/>
              <w:spacing w:before="68" w:line="220" w:lineRule="auto"/>
              <w:ind w:left="435"/>
            </w:pPr>
            <w:r>
              <w:rPr>
                <w:spacing w:val="3"/>
              </w:rPr>
              <w:t>石拐区住建局</w:t>
            </w:r>
          </w:p>
        </w:tc>
        <w:tc>
          <w:tcPr>
            <w:tcW w:w="2128" w:type="dxa"/>
            <w:vAlign w:val="top"/>
          </w:tcPr>
          <w:p w14:paraId="0A78EE90">
            <w:pPr>
              <w:pStyle w:val="6"/>
              <w:spacing w:before="52" w:line="209" w:lineRule="auto"/>
              <w:ind w:left="843"/>
            </w:pPr>
            <w:r>
              <w:rPr>
                <w:spacing w:val="14"/>
              </w:rPr>
              <w:t>杨勇</w:t>
            </w:r>
          </w:p>
        </w:tc>
        <w:tc>
          <w:tcPr>
            <w:tcW w:w="2128" w:type="dxa"/>
            <w:vAlign w:val="top"/>
          </w:tcPr>
          <w:p w14:paraId="3D6CF89C">
            <w:pPr>
              <w:pStyle w:val="6"/>
              <w:spacing w:before="54" w:line="207" w:lineRule="auto"/>
              <w:ind w:left="844"/>
            </w:pPr>
            <w:r>
              <w:rPr>
                <w:spacing w:val="4"/>
              </w:rPr>
              <w:t>局长</w:t>
            </w:r>
          </w:p>
        </w:tc>
        <w:tc>
          <w:tcPr>
            <w:tcW w:w="2142" w:type="dxa"/>
            <w:vAlign w:val="top"/>
          </w:tcPr>
          <w:p w14:paraId="56FD1B16">
            <w:pPr>
              <w:pStyle w:val="6"/>
              <w:spacing w:before="73" w:line="190" w:lineRule="auto"/>
              <w:ind w:left="487"/>
            </w:pPr>
            <w:r>
              <w:rPr>
                <w:spacing w:val="-2"/>
              </w:rPr>
              <w:t>13847235577</w:t>
            </w:r>
          </w:p>
        </w:tc>
      </w:tr>
      <w:tr w14:paraId="31710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42" w:type="dxa"/>
            <w:vMerge w:val="continue"/>
            <w:tcBorders>
              <w:top w:val="nil"/>
              <w:bottom w:val="nil"/>
            </w:tcBorders>
            <w:vAlign w:val="top"/>
          </w:tcPr>
          <w:p w14:paraId="75F35185">
            <w:pPr>
              <w:rPr>
                <w:rFonts w:ascii="Arial"/>
                <w:sz w:val="21"/>
              </w:rPr>
            </w:pPr>
          </w:p>
        </w:tc>
        <w:tc>
          <w:tcPr>
            <w:tcW w:w="2128" w:type="dxa"/>
            <w:vAlign w:val="top"/>
          </w:tcPr>
          <w:p w14:paraId="2BB20C83">
            <w:pPr>
              <w:pStyle w:val="6"/>
              <w:spacing w:before="65" w:line="214" w:lineRule="auto"/>
              <w:ind w:left="843"/>
            </w:pPr>
            <w:r>
              <w:rPr>
                <w:spacing w:val="7"/>
              </w:rPr>
              <w:t>庞宏</w:t>
            </w:r>
          </w:p>
        </w:tc>
        <w:tc>
          <w:tcPr>
            <w:tcW w:w="2128" w:type="dxa"/>
            <w:vAlign w:val="top"/>
          </w:tcPr>
          <w:p w14:paraId="0DBE389D">
            <w:pPr>
              <w:pStyle w:val="6"/>
              <w:spacing w:before="62" w:line="217" w:lineRule="auto"/>
              <w:ind w:left="745"/>
            </w:pPr>
            <w:r>
              <w:rPr>
                <w:spacing w:val="6"/>
              </w:rPr>
              <w:t>副局</w:t>
            </w:r>
            <w:r>
              <w:rPr>
                <w:color w:val="405050"/>
                <w:spacing w:val="6"/>
              </w:rPr>
              <w:t>长</w:t>
            </w:r>
          </w:p>
        </w:tc>
        <w:tc>
          <w:tcPr>
            <w:tcW w:w="2142" w:type="dxa"/>
            <w:vAlign w:val="top"/>
          </w:tcPr>
          <w:p w14:paraId="319C4043">
            <w:pPr>
              <w:pStyle w:val="6"/>
              <w:spacing w:before="83" w:line="198" w:lineRule="auto"/>
              <w:ind w:left="487"/>
            </w:pPr>
            <w:r>
              <w:rPr>
                <w:spacing w:val="-2"/>
              </w:rPr>
              <w:t>13848229100</w:t>
            </w:r>
          </w:p>
        </w:tc>
      </w:tr>
      <w:tr w14:paraId="3742D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continue"/>
            <w:tcBorders>
              <w:top w:val="nil"/>
            </w:tcBorders>
            <w:vAlign w:val="top"/>
          </w:tcPr>
          <w:p w14:paraId="6D8B6BF6">
            <w:pPr>
              <w:rPr>
                <w:rFonts w:ascii="Arial"/>
                <w:sz w:val="21"/>
              </w:rPr>
            </w:pPr>
          </w:p>
        </w:tc>
        <w:tc>
          <w:tcPr>
            <w:tcW w:w="2128" w:type="dxa"/>
            <w:vAlign w:val="top"/>
          </w:tcPr>
          <w:p w14:paraId="3F0291A2">
            <w:pPr>
              <w:pStyle w:val="6"/>
              <w:spacing w:before="63" w:line="217" w:lineRule="auto"/>
              <w:ind w:left="743"/>
            </w:pPr>
            <w:r>
              <w:rPr>
                <w:spacing w:val="-3"/>
              </w:rPr>
              <w:t>杨明瑞</w:t>
            </w:r>
          </w:p>
        </w:tc>
        <w:tc>
          <w:tcPr>
            <w:tcW w:w="2128" w:type="dxa"/>
            <w:vAlign w:val="top"/>
          </w:tcPr>
          <w:p w14:paraId="6B81BDA6">
            <w:pPr>
              <w:pStyle w:val="6"/>
              <w:spacing w:before="63" w:line="217" w:lineRule="auto"/>
              <w:ind w:left="534"/>
            </w:pPr>
            <w:r>
              <w:rPr>
                <w:spacing w:val="1"/>
              </w:rPr>
              <w:t>办公室主任</w:t>
            </w:r>
          </w:p>
        </w:tc>
        <w:tc>
          <w:tcPr>
            <w:tcW w:w="2142" w:type="dxa"/>
            <w:vAlign w:val="top"/>
          </w:tcPr>
          <w:p w14:paraId="5DFB4857">
            <w:pPr>
              <w:pStyle w:val="6"/>
              <w:spacing w:before="84" w:line="198" w:lineRule="auto"/>
              <w:ind w:left="487"/>
            </w:pPr>
            <w:r>
              <w:rPr>
                <w:spacing w:val="-2"/>
              </w:rPr>
              <w:t>13847212333</w:t>
            </w:r>
          </w:p>
        </w:tc>
      </w:tr>
      <w:tr w14:paraId="3A806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restart"/>
            <w:tcBorders>
              <w:bottom w:val="nil"/>
            </w:tcBorders>
            <w:vAlign w:val="top"/>
          </w:tcPr>
          <w:p w14:paraId="5A715F47">
            <w:pPr>
              <w:spacing w:line="472" w:lineRule="auto"/>
              <w:rPr>
                <w:rFonts w:ascii="Arial"/>
                <w:sz w:val="21"/>
              </w:rPr>
            </w:pPr>
          </w:p>
          <w:p w14:paraId="1519F404">
            <w:pPr>
              <w:pStyle w:val="6"/>
              <w:spacing w:before="68" w:line="219" w:lineRule="auto"/>
              <w:ind w:left="435"/>
            </w:pPr>
            <w:r>
              <w:rPr>
                <w:spacing w:val="3"/>
              </w:rPr>
              <w:t>石拐区农牧局</w:t>
            </w:r>
          </w:p>
        </w:tc>
        <w:tc>
          <w:tcPr>
            <w:tcW w:w="2128" w:type="dxa"/>
            <w:vAlign w:val="top"/>
          </w:tcPr>
          <w:p w14:paraId="0500918A">
            <w:pPr>
              <w:pStyle w:val="6"/>
              <w:spacing w:before="53" w:line="217" w:lineRule="auto"/>
              <w:ind w:left="843"/>
            </w:pPr>
            <w:r>
              <w:rPr>
                <w:spacing w:val="-3"/>
              </w:rPr>
              <w:t>董凯</w:t>
            </w:r>
          </w:p>
        </w:tc>
        <w:tc>
          <w:tcPr>
            <w:tcW w:w="2128" w:type="dxa"/>
            <w:vAlign w:val="top"/>
          </w:tcPr>
          <w:p w14:paraId="6ED1C6F7">
            <w:pPr>
              <w:pStyle w:val="6"/>
              <w:spacing w:before="55" w:line="215" w:lineRule="auto"/>
              <w:ind w:left="844"/>
            </w:pPr>
            <w:r>
              <w:rPr>
                <w:spacing w:val="4"/>
              </w:rPr>
              <w:t>局长</w:t>
            </w:r>
          </w:p>
        </w:tc>
        <w:tc>
          <w:tcPr>
            <w:tcW w:w="2142" w:type="dxa"/>
            <w:vAlign w:val="top"/>
          </w:tcPr>
          <w:p w14:paraId="109F2C7A">
            <w:pPr>
              <w:pStyle w:val="6"/>
              <w:spacing w:before="74" w:line="198" w:lineRule="auto"/>
              <w:ind w:left="487"/>
            </w:pPr>
            <w:r>
              <w:rPr>
                <w:spacing w:val="-2"/>
              </w:rPr>
              <w:t>13614722348</w:t>
            </w:r>
          </w:p>
        </w:tc>
      </w:tr>
      <w:tr w14:paraId="38107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142" w:type="dxa"/>
            <w:vMerge w:val="continue"/>
            <w:tcBorders>
              <w:top w:val="nil"/>
              <w:bottom w:val="nil"/>
            </w:tcBorders>
            <w:vAlign w:val="top"/>
          </w:tcPr>
          <w:p w14:paraId="1C562A70">
            <w:pPr>
              <w:rPr>
                <w:rFonts w:ascii="Arial"/>
                <w:sz w:val="21"/>
              </w:rPr>
            </w:pPr>
          </w:p>
        </w:tc>
        <w:tc>
          <w:tcPr>
            <w:tcW w:w="2128" w:type="dxa"/>
            <w:vAlign w:val="top"/>
          </w:tcPr>
          <w:p w14:paraId="603647D3">
            <w:pPr>
              <w:pStyle w:val="6"/>
              <w:spacing w:before="53" w:line="207" w:lineRule="auto"/>
              <w:ind w:left="743"/>
            </w:pPr>
            <w:r>
              <w:rPr>
                <w:spacing w:val="4"/>
              </w:rPr>
              <w:t>祁晓伟</w:t>
            </w:r>
          </w:p>
        </w:tc>
        <w:tc>
          <w:tcPr>
            <w:tcW w:w="2128" w:type="dxa"/>
            <w:vAlign w:val="top"/>
          </w:tcPr>
          <w:p w14:paraId="2CB51578">
            <w:pPr>
              <w:pStyle w:val="6"/>
              <w:spacing w:before="53" w:line="207" w:lineRule="auto"/>
              <w:ind w:left="745"/>
            </w:pPr>
            <w:r>
              <w:rPr>
                <w:spacing w:val="3"/>
              </w:rPr>
              <w:t>副局长</w:t>
            </w:r>
          </w:p>
        </w:tc>
        <w:tc>
          <w:tcPr>
            <w:tcW w:w="2142" w:type="dxa"/>
            <w:vAlign w:val="top"/>
          </w:tcPr>
          <w:p w14:paraId="58F51616">
            <w:pPr>
              <w:pStyle w:val="6"/>
              <w:spacing w:before="75" w:line="188" w:lineRule="auto"/>
              <w:ind w:left="487"/>
            </w:pPr>
            <w:r>
              <w:rPr>
                <w:spacing w:val="-2"/>
              </w:rPr>
              <w:t>13947299905</w:t>
            </w:r>
          </w:p>
        </w:tc>
      </w:tr>
      <w:tr w14:paraId="31ABB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continue"/>
            <w:tcBorders>
              <w:top w:val="nil"/>
              <w:bottom w:val="nil"/>
            </w:tcBorders>
            <w:vAlign w:val="top"/>
          </w:tcPr>
          <w:p w14:paraId="1E1A3B11">
            <w:pPr>
              <w:rPr>
                <w:rFonts w:ascii="Arial"/>
                <w:sz w:val="21"/>
              </w:rPr>
            </w:pPr>
          </w:p>
        </w:tc>
        <w:tc>
          <w:tcPr>
            <w:tcW w:w="2128" w:type="dxa"/>
            <w:vAlign w:val="top"/>
          </w:tcPr>
          <w:p w14:paraId="3156D5D4">
            <w:pPr>
              <w:pStyle w:val="6"/>
              <w:spacing w:before="64" w:line="216" w:lineRule="auto"/>
              <w:ind w:left="743"/>
            </w:pPr>
            <w:r>
              <w:rPr>
                <w:spacing w:val="2"/>
              </w:rPr>
              <w:t>贾严迪</w:t>
            </w:r>
          </w:p>
        </w:tc>
        <w:tc>
          <w:tcPr>
            <w:tcW w:w="2128" w:type="dxa"/>
            <w:vAlign w:val="top"/>
          </w:tcPr>
          <w:p w14:paraId="2DB6D12F">
            <w:pPr>
              <w:pStyle w:val="6"/>
              <w:spacing w:before="64" w:line="216" w:lineRule="auto"/>
              <w:ind w:left="745"/>
            </w:pPr>
            <w:r>
              <w:rPr>
                <w:spacing w:val="3"/>
              </w:rPr>
              <w:t>副局长</w:t>
            </w:r>
          </w:p>
        </w:tc>
        <w:tc>
          <w:tcPr>
            <w:tcW w:w="2142" w:type="dxa"/>
            <w:vAlign w:val="top"/>
          </w:tcPr>
          <w:p w14:paraId="0867F008">
            <w:pPr>
              <w:pStyle w:val="6"/>
              <w:spacing w:before="85" w:line="197" w:lineRule="auto"/>
              <w:ind w:left="487"/>
            </w:pPr>
            <w:r>
              <w:rPr>
                <w:spacing w:val="-2"/>
              </w:rPr>
              <w:t>15147280006</w:t>
            </w:r>
          </w:p>
        </w:tc>
      </w:tr>
      <w:tr w14:paraId="4AC6A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42" w:type="dxa"/>
            <w:vMerge w:val="continue"/>
            <w:tcBorders>
              <w:top w:val="nil"/>
            </w:tcBorders>
            <w:vAlign w:val="top"/>
          </w:tcPr>
          <w:p w14:paraId="4E86415F">
            <w:pPr>
              <w:rPr>
                <w:rFonts w:ascii="Arial"/>
                <w:sz w:val="21"/>
              </w:rPr>
            </w:pPr>
          </w:p>
        </w:tc>
        <w:tc>
          <w:tcPr>
            <w:tcW w:w="2128" w:type="dxa"/>
            <w:vAlign w:val="top"/>
          </w:tcPr>
          <w:p w14:paraId="3FBDDFA2">
            <w:pPr>
              <w:pStyle w:val="6"/>
              <w:spacing w:before="64" w:line="215" w:lineRule="auto"/>
              <w:ind w:left="743"/>
            </w:pPr>
            <w:r>
              <w:rPr>
                <w:spacing w:val="3"/>
              </w:rPr>
              <w:t>李东升</w:t>
            </w:r>
          </w:p>
        </w:tc>
        <w:tc>
          <w:tcPr>
            <w:tcW w:w="2128" w:type="dxa"/>
            <w:vAlign w:val="top"/>
          </w:tcPr>
          <w:p w14:paraId="161B7920">
            <w:pPr>
              <w:pStyle w:val="6"/>
              <w:spacing w:before="64" w:line="215" w:lineRule="auto"/>
              <w:ind w:left="534"/>
            </w:pPr>
            <w:r>
              <w:rPr>
                <w:spacing w:val="1"/>
              </w:rPr>
              <w:t>办公室主任</w:t>
            </w:r>
          </w:p>
        </w:tc>
        <w:tc>
          <w:tcPr>
            <w:tcW w:w="2142" w:type="dxa"/>
            <w:vAlign w:val="top"/>
          </w:tcPr>
          <w:p w14:paraId="3C3A25AB">
            <w:pPr>
              <w:pStyle w:val="6"/>
              <w:spacing w:before="86" w:line="196" w:lineRule="auto"/>
              <w:ind w:left="487"/>
            </w:pPr>
            <w:r>
              <w:rPr>
                <w:spacing w:val="-2"/>
              </w:rPr>
              <w:t>15849273840</w:t>
            </w:r>
          </w:p>
        </w:tc>
      </w:tr>
      <w:tr w14:paraId="4A533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142" w:type="dxa"/>
            <w:vMerge w:val="restart"/>
            <w:tcBorders>
              <w:bottom w:val="nil"/>
            </w:tcBorders>
            <w:vAlign w:val="top"/>
          </w:tcPr>
          <w:p w14:paraId="42D991CF">
            <w:pPr>
              <w:spacing w:line="306" w:lineRule="auto"/>
              <w:rPr>
                <w:rFonts w:ascii="Arial"/>
                <w:sz w:val="21"/>
              </w:rPr>
            </w:pPr>
          </w:p>
          <w:p w14:paraId="6B57A17C">
            <w:pPr>
              <w:pStyle w:val="6"/>
              <w:spacing w:before="68" w:line="220" w:lineRule="auto"/>
              <w:ind w:left="435"/>
            </w:pPr>
            <w:r>
              <w:rPr>
                <w:spacing w:val="3"/>
              </w:rPr>
              <w:t>石拐区民政局</w:t>
            </w:r>
          </w:p>
        </w:tc>
        <w:tc>
          <w:tcPr>
            <w:tcW w:w="2128" w:type="dxa"/>
            <w:vAlign w:val="top"/>
          </w:tcPr>
          <w:p w14:paraId="2BE57D8C">
            <w:pPr>
              <w:pStyle w:val="6"/>
              <w:spacing w:before="55" w:line="206" w:lineRule="auto"/>
              <w:ind w:left="743"/>
            </w:pPr>
            <w:r>
              <w:rPr>
                <w:spacing w:val="6"/>
              </w:rPr>
              <w:t>王旭东</w:t>
            </w:r>
          </w:p>
        </w:tc>
        <w:tc>
          <w:tcPr>
            <w:tcW w:w="2128" w:type="dxa"/>
            <w:vAlign w:val="top"/>
          </w:tcPr>
          <w:p w14:paraId="3C6B127F">
            <w:pPr>
              <w:pStyle w:val="6"/>
              <w:spacing w:before="56" w:line="205" w:lineRule="auto"/>
              <w:ind w:left="844"/>
            </w:pPr>
            <w:r>
              <w:rPr>
                <w:spacing w:val="4"/>
              </w:rPr>
              <w:t>局长</w:t>
            </w:r>
          </w:p>
        </w:tc>
        <w:tc>
          <w:tcPr>
            <w:tcW w:w="2142" w:type="dxa"/>
            <w:vAlign w:val="top"/>
          </w:tcPr>
          <w:p w14:paraId="66A0EE21">
            <w:pPr>
              <w:pStyle w:val="6"/>
              <w:spacing w:before="76" w:line="188" w:lineRule="auto"/>
              <w:ind w:left="487"/>
            </w:pPr>
            <w:r>
              <w:rPr>
                <w:spacing w:val="-2"/>
              </w:rPr>
              <w:t>13847276557</w:t>
            </w:r>
          </w:p>
        </w:tc>
      </w:tr>
      <w:tr w14:paraId="5A5EE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bottom w:val="nil"/>
            </w:tcBorders>
            <w:vAlign w:val="top"/>
          </w:tcPr>
          <w:p w14:paraId="05BFCD8F">
            <w:pPr>
              <w:rPr>
                <w:rFonts w:ascii="Arial"/>
                <w:sz w:val="21"/>
              </w:rPr>
            </w:pPr>
          </w:p>
        </w:tc>
        <w:tc>
          <w:tcPr>
            <w:tcW w:w="2128" w:type="dxa"/>
            <w:vAlign w:val="top"/>
          </w:tcPr>
          <w:p w14:paraId="7018BBEF">
            <w:pPr>
              <w:pStyle w:val="6"/>
              <w:spacing w:before="56" w:line="214" w:lineRule="auto"/>
              <w:ind w:left="843"/>
            </w:pPr>
            <w:r>
              <w:rPr>
                <w:spacing w:val="5"/>
              </w:rPr>
              <w:t>李袁</w:t>
            </w:r>
          </w:p>
        </w:tc>
        <w:tc>
          <w:tcPr>
            <w:tcW w:w="2128" w:type="dxa"/>
            <w:vAlign w:val="top"/>
          </w:tcPr>
          <w:p w14:paraId="3131B912">
            <w:pPr>
              <w:pStyle w:val="6"/>
              <w:spacing w:before="55" w:line="215" w:lineRule="auto"/>
              <w:ind w:left="745"/>
            </w:pPr>
            <w:r>
              <w:rPr>
                <w:spacing w:val="3"/>
              </w:rPr>
              <w:t>副局长</w:t>
            </w:r>
          </w:p>
        </w:tc>
        <w:tc>
          <w:tcPr>
            <w:tcW w:w="2142" w:type="dxa"/>
            <w:vAlign w:val="top"/>
          </w:tcPr>
          <w:p w14:paraId="07BA706C">
            <w:pPr>
              <w:pStyle w:val="6"/>
              <w:spacing w:before="77" w:line="196" w:lineRule="auto"/>
              <w:ind w:left="487"/>
            </w:pPr>
            <w:r>
              <w:rPr>
                <w:spacing w:val="-2"/>
              </w:rPr>
              <w:t>13947241622</w:t>
            </w:r>
          </w:p>
        </w:tc>
      </w:tr>
      <w:tr w14:paraId="249E6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continue"/>
            <w:tcBorders>
              <w:top w:val="nil"/>
            </w:tcBorders>
            <w:vAlign w:val="top"/>
          </w:tcPr>
          <w:p w14:paraId="3A4713EF">
            <w:pPr>
              <w:rPr>
                <w:rFonts w:ascii="Arial"/>
                <w:sz w:val="21"/>
              </w:rPr>
            </w:pPr>
          </w:p>
        </w:tc>
        <w:tc>
          <w:tcPr>
            <w:tcW w:w="2128" w:type="dxa"/>
            <w:vAlign w:val="top"/>
          </w:tcPr>
          <w:p w14:paraId="1A6D4DA9">
            <w:pPr>
              <w:pStyle w:val="6"/>
              <w:spacing w:before="66" w:line="214" w:lineRule="auto"/>
              <w:ind w:left="743"/>
            </w:pPr>
            <w:r>
              <w:rPr>
                <w:spacing w:val="4"/>
              </w:rPr>
              <w:t>李玉芳</w:t>
            </w:r>
          </w:p>
        </w:tc>
        <w:tc>
          <w:tcPr>
            <w:tcW w:w="2128" w:type="dxa"/>
            <w:vAlign w:val="top"/>
          </w:tcPr>
          <w:p w14:paraId="4CFD5EBB">
            <w:pPr>
              <w:pStyle w:val="6"/>
              <w:spacing w:before="65" w:line="215" w:lineRule="auto"/>
              <w:ind w:left="534"/>
            </w:pPr>
            <w:r>
              <w:rPr>
                <w:spacing w:val="1"/>
              </w:rPr>
              <w:t>办公室主任</w:t>
            </w:r>
          </w:p>
        </w:tc>
        <w:tc>
          <w:tcPr>
            <w:tcW w:w="2142" w:type="dxa"/>
            <w:vAlign w:val="top"/>
          </w:tcPr>
          <w:p w14:paraId="09B2990E">
            <w:pPr>
              <w:pStyle w:val="6"/>
              <w:spacing w:before="87" w:line="196" w:lineRule="auto"/>
              <w:ind w:left="487"/>
            </w:pPr>
            <w:r>
              <w:rPr>
                <w:spacing w:val="-2"/>
              </w:rPr>
              <w:t>13847284138</w:t>
            </w:r>
          </w:p>
        </w:tc>
      </w:tr>
      <w:tr w14:paraId="1C000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restart"/>
            <w:tcBorders>
              <w:bottom w:val="nil"/>
            </w:tcBorders>
            <w:vAlign w:val="top"/>
          </w:tcPr>
          <w:p w14:paraId="5CC92B4B">
            <w:pPr>
              <w:pStyle w:val="6"/>
              <w:spacing w:before="216" w:line="276" w:lineRule="auto"/>
              <w:ind w:left="955" w:right="135" w:hanging="840"/>
            </w:pPr>
            <w:r>
              <w:rPr>
                <w:spacing w:val="-2"/>
              </w:rPr>
              <w:t>石拐区文体广电旅游</w:t>
            </w:r>
            <w:r>
              <w:rPr>
                <w:spacing w:val="7"/>
              </w:rPr>
              <w:t xml:space="preserve"> </w:t>
            </w:r>
            <w:r>
              <w:t>局</w:t>
            </w:r>
          </w:p>
        </w:tc>
        <w:tc>
          <w:tcPr>
            <w:tcW w:w="2128" w:type="dxa"/>
            <w:vAlign w:val="top"/>
          </w:tcPr>
          <w:p w14:paraId="4D965ACE">
            <w:pPr>
              <w:pStyle w:val="6"/>
              <w:spacing w:before="56" w:line="214" w:lineRule="auto"/>
              <w:ind w:left="743"/>
            </w:pPr>
            <w:r>
              <w:rPr>
                <w:spacing w:val="5"/>
              </w:rPr>
              <w:t>汤化雨</w:t>
            </w:r>
          </w:p>
        </w:tc>
        <w:tc>
          <w:tcPr>
            <w:tcW w:w="2128" w:type="dxa"/>
            <w:vAlign w:val="top"/>
          </w:tcPr>
          <w:p w14:paraId="1F71C5F4">
            <w:pPr>
              <w:pStyle w:val="6"/>
              <w:spacing w:before="56" w:line="214" w:lineRule="auto"/>
              <w:ind w:left="844"/>
            </w:pPr>
            <w:r>
              <w:rPr>
                <w:spacing w:val="4"/>
              </w:rPr>
              <w:t>局长</w:t>
            </w:r>
          </w:p>
        </w:tc>
        <w:tc>
          <w:tcPr>
            <w:tcW w:w="2142" w:type="dxa"/>
            <w:vAlign w:val="top"/>
          </w:tcPr>
          <w:p w14:paraId="520C5A7E">
            <w:pPr>
              <w:pStyle w:val="6"/>
              <w:spacing w:before="77" w:line="196" w:lineRule="auto"/>
              <w:ind w:left="487"/>
            </w:pPr>
            <w:r>
              <w:rPr>
                <w:spacing w:val="-2"/>
              </w:rPr>
              <w:t>13847276557</w:t>
            </w:r>
          </w:p>
        </w:tc>
      </w:tr>
      <w:tr w14:paraId="5D4AA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142" w:type="dxa"/>
            <w:vMerge w:val="continue"/>
            <w:tcBorders>
              <w:top w:val="nil"/>
              <w:bottom w:val="nil"/>
            </w:tcBorders>
            <w:vAlign w:val="top"/>
          </w:tcPr>
          <w:p w14:paraId="48753BCC">
            <w:pPr>
              <w:rPr>
                <w:rFonts w:ascii="Arial"/>
                <w:sz w:val="21"/>
              </w:rPr>
            </w:pPr>
          </w:p>
        </w:tc>
        <w:tc>
          <w:tcPr>
            <w:tcW w:w="2128" w:type="dxa"/>
            <w:vAlign w:val="top"/>
          </w:tcPr>
          <w:p w14:paraId="6902F0C2">
            <w:pPr>
              <w:pStyle w:val="6"/>
              <w:spacing w:before="55" w:line="206" w:lineRule="auto"/>
              <w:ind w:left="843"/>
            </w:pPr>
            <w:r>
              <w:rPr>
                <w:spacing w:val="5"/>
              </w:rPr>
              <w:t>马君</w:t>
            </w:r>
          </w:p>
        </w:tc>
        <w:tc>
          <w:tcPr>
            <w:tcW w:w="2128" w:type="dxa"/>
            <w:vAlign w:val="top"/>
          </w:tcPr>
          <w:p w14:paraId="34572010">
            <w:pPr>
              <w:pStyle w:val="6"/>
              <w:spacing w:before="55" w:line="206" w:lineRule="auto"/>
              <w:ind w:left="745"/>
            </w:pPr>
            <w:r>
              <w:rPr>
                <w:spacing w:val="3"/>
              </w:rPr>
              <w:t>副局长</w:t>
            </w:r>
          </w:p>
        </w:tc>
        <w:tc>
          <w:tcPr>
            <w:tcW w:w="2142" w:type="dxa"/>
            <w:vAlign w:val="top"/>
          </w:tcPr>
          <w:p w14:paraId="0419F28E">
            <w:pPr>
              <w:pStyle w:val="6"/>
              <w:spacing w:before="76" w:line="188" w:lineRule="auto"/>
              <w:ind w:left="487"/>
            </w:pPr>
            <w:r>
              <w:rPr>
                <w:spacing w:val="-2"/>
              </w:rPr>
              <w:t>15848248966</w:t>
            </w:r>
          </w:p>
        </w:tc>
      </w:tr>
      <w:tr w14:paraId="28673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42" w:type="dxa"/>
            <w:vMerge w:val="continue"/>
            <w:tcBorders>
              <w:top w:val="nil"/>
            </w:tcBorders>
            <w:vAlign w:val="top"/>
          </w:tcPr>
          <w:p w14:paraId="39DC9784">
            <w:pPr>
              <w:rPr>
                <w:rFonts w:ascii="Arial"/>
                <w:sz w:val="21"/>
              </w:rPr>
            </w:pPr>
          </w:p>
        </w:tc>
        <w:tc>
          <w:tcPr>
            <w:tcW w:w="2128" w:type="dxa"/>
            <w:vAlign w:val="top"/>
          </w:tcPr>
          <w:p w14:paraId="2D7E7325">
            <w:pPr>
              <w:pStyle w:val="6"/>
              <w:spacing w:before="64" w:line="215" w:lineRule="auto"/>
              <w:ind w:left="743"/>
            </w:pPr>
            <w:r>
              <w:rPr>
                <w:spacing w:val="4"/>
              </w:rPr>
              <w:t>张利军</w:t>
            </w:r>
          </w:p>
        </w:tc>
        <w:tc>
          <w:tcPr>
            <w:tcW w:w="2128" w:type="dxa"/>
            <w:vAlign w:val="top"/>
          </w:tcPr>
          <w:p w14:paraId="3A9F2996">
            <w:pPr>
              <w:pStyle w:val="6"/>
              <w:spacing w:before="65" w:line="214" w:lineRule="auto"/>
              <w:ind w:left="534"/>
            </w:pPr>
            <w:r>
              <w:rPr>
                <w:spacing w:val="1"/>
              </w:rPr>
              <w:t>办公室主任</w:t>
            </w:r>
          </w:p>
        </w:tc>
        <w:tc>
          <w:tcPr>
            <w:tcW w:w="2142" w:type="dxa"/>
            <w:vAlign w:val="top"/>
          </w:tcPr>
          <w:p w14:paraId="21DD0F25">
            <w:pPr>
              <w:pStyle w:val="6"/>
              <w:spacing w:before="86" w:line="196" w:lineRule="auto"/>
              <w:ind w:left="487"/>
            </w:pPr>
            <w:r>
              <w:rPr>
                <w:spacing w:val="-2"/>
              </w:rPr>
              <w:t>13847229083</w:t>
            </w:r>
          </w:p>
        </w:tc>
      </w:tr>
      <w:tr w14:paraId="0BF5C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restart"/>
            <w:tcBorders>
              <w:bottom w:val="nil"/>
            </w:tcBorders>
            <w:vAlign w:val="top"/>
          </w:tcPr>
          <w:p w14:paraId="2C64E68B">
            <w:pPr>
              <w:spacing w:line="316" w:lineRule="auto"/>
              <w:rPr>
                <w:rFonts w:ascii="Arial"/>
                <w:sz w:val="21"/>
              </w:rPr>
            </w:pPr>
          </w:p>
          <w:p w14:paraId="7CDEDEE5">
            <w:pPr>
              <w:pStyle w:val="6"/>
              <w:spacing w:before="68" w:line="219" w:lineRule="auto"/>
              <w:ind w:left="224"/>
            </w:pPr>
            <w:r>
              <w:rPr>
                <w:spacing w:val="2"/>
              </w:rPr>
              <w:t>石拐区应急管理局</w:t>
            </w:r>
          </w:p>
        </w:tc>
        <w:tc>
          <w:tcPr>
            <w:tcW w:w="2128" w:type="dxa"/>
            <w:vAlign w:val="top"/>
          </w:tcPr>
          <w:p w14:paraId="2D920793">
            <w:pPr>
              <w:pStyle w:val="6"/>
              <w:spacing w:before="66" w:line="214" w:lineRule="auto"/>
              <w:ind w:left="743"/>
            </w:pPr>
            <w:r>
              <w:rPr>
                <w:spacing w:val="7"/>
              </w:rPr>
              <w:t>李新明</w:t>
            </w:r>
          </w:p>
        </w:tc>
        <w:tc>
          <w:tcPr>
            <w:tcW w:w="2128" w:type="dxa"/>
            <w:vAlign w:val="top"/>
          </w:tcPr>
          <w:p w14:paraId="59A03256">
            <w:pPr>
              <w:pStyle w:val="6"/>
              <w:spacing w:before="67" w:line="213" w:lineRule="auto"/>
              <w:ind w:left="844"/>
            </w:pPr>
            <w:r>
              <w:rPr>
                <w:spacing w:val="4"/>
              </w:rPr>
              <w:t>局长</w:t>
            </w:r>
          </w:p>
        </w:tc>
        <w:tc>
          <w:tcPr>
            <w:tcW w:w="2142" w:type="dxa"/>
            <w:vAlign w:val="top"/>
          </w:tcPr>
          <w:p w14:paraId="1E1932F3">
            <w:pPr>
              <w:pStyle w:val="6"/>
              <w:spacing w:before="87" w:line="196" w:lineRule="auto"/>
              <w:ind w:left="487"/>
            </w:pPr>
            <w:r>
              <w:rPr>
                <w:spacing w:val="-2"/>
              </w:rPr>
              <w:t>13847259566</w:t>
            </w:r>
          </w:p>
        </w:tc>
      </w:tr>
      <w:tr w14:paraId="3502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142" w:type="dxa"/>
            <w:vMerge w:val="continue"/>
            <w:tcBorders>
              <w:top w:val="nil"/>
              <w:bottom w:val="nil"/>
            </w:tcBorders>
            <w:vAlign w:val="top"/>
          </w:tcPr>
          <w:p w14:paraId="2FCACDDF">
            <w:pPr>
              <w:rPr>
                <w:rFonts w:ascii="Arial"/>
                <w:sz w:val="21"/>
              </w:rPr>
            </w:pPr>
          </w:p>
        </w:tc>
        <w:tc>
          <w:tcPr>
            <w:tcW w:w="2128" w:type="dxa"/>
            <w:vAlign w:val="top"/>
          </w:tcPr>
          <w:p w14:paraId="75A6C55F">
            <w:pPr>
              <w:pStyle w:val="6"/>
              <w:spacing w:before="56" w:line="204" w:lineRule="auto"/>
              <w:ind w:left="843"/>
            </w:pPr>
            <w:r>
              <w:rPr>
                <w:spacing w:val="6"/>
              </w:rPr>
              <w:t>周俊</w:t>
            </w:r>
          </w:p>
        </w:tc>
        <w:tc>
          <w:tcPr>
            <w:tcW w:w="2128" w:type="dxa"/>
            <w:vAlign w:val="top"/>
          </w:tcPr>
          <w:p w14:paraId="3EDB4B84">
            <w:pPr>
              <w:pStyle w:val="6"/>
              <w:spacing w:before="56" w:line="204" w:lineRule="auto"/>
              <w:ind w:left="745"/>
            </w:pPr>
            <w:r>
              <w:rPr>
                <w:spacing w:val="3"/>
              </w:rPr>
              <w:t>副局长</w:t>
            </w:r>
          </w:p>
        </w:tc>
        <w:tc>
          <w:tcPr>
            <w:tcW w:w="2142" w:type="dxa"/>
            <w:vAlign w:val="top"/>
          </w:tcPr>
          <w:p w14:paraId="2998A5B7">
            <w:pPr>
              <w:pStyle w:val="6"/>
              <w:spacing w:before="77" w:line="186" w:lineRule="auto"/>
              <w:ind w:left="487"/>
            </w:pPr>
            <w:r>
              <w:rPr>
                <w:spacing w:val="-2"/>
              </w:rPr>
              <w:t>18686199946</w:t>
            </w:r>
          </w:p>
        </w:tc>
      </w:tr>
      <w:tr w14:paraId="41E68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142" w:type="dxa"/>
            <w:vMerge w:val="continue"/>
            <w:tcBorders>
              <w:top w:val="nil"/>
            </w:tcBorders>
            <w:vAlign w:val="top"/>
          </w:tcPr>
          <w:p w14:paraId="1893C015">
            <w:pPr>
              <w:rPr>
                <w:rFonts w:ascii="Arial"/>
                <w:sz w:val="21"/>
              </w:rPr>
            </w:pPr>
          </w:p>
        </w:tc>
        <w:tc>
          <w:tcPr>
            <w:tcW w:w="2128" w:type="dxa"/>
            <w:vAlign w:val="top"/>
          </w:tcPr>
          <w:p w14:paraId="75AF3A0C">
            <w:pPr>
              <w:pStyle w:val="6"/>
              <w:spacing w:before="67" w:line="213" w:lineRule="auto"/>
              <w:ind w:left="743"/>
            </w:pPr>
            <w:r>
              <w:rPr>
                <w:spacing w:val="5"/>
              </w:rPr>
              <w:t>宫美利</w:t>
            </w:r>
          </w:p>
        </w:tc>
        <w:tc>
          <w:tcPr>
            <w:tcW w:w="2128" w:type="dxa"/>
            <w:vAlign w:val="top"/>
          </w:tcPr>
          <w:p w14:paraId="6EE41AFB">
            <w:pPr>
              <w:pStyle w:val="6"/>
              <w:spacing w:before="67" w:line="213" w:lineRule="auto"/>
              <w:ind w:left="534"/>
            </w:pPr>
            <w:r>
              <w:rPr>
                <w:spacing w:val="1"/>
              </w:rPr>
              <w:t>办公室主任</w:t>
            </w:r>
          </w:p>
        </w:tc>
        <w:tc>
          <w:tcPr>
            <w:tcW w:w="2142" w:type="dxa"/>
            <w:vAlign w:val="top"/>
          </w:tcPr>
          <w:p w14:paraId="4BE50691">
            <w:pPr>
              <w:pStyle w:val="6"/>
              <w:spacing w:before="88" w:line="195" w:lineRule="auto"/>
              <w:ind w:left="487"/>
            </w:pPr>
            <w:r>
              <w:rPr>
                <w:spacing w:val="-2"/>
              </w:rPr>
              <w:t>13224709304</w:t>
            </w:r>
          </w:p>
        </w:tc>
      </w:tr>
      <w:tr w14:paraId="03DA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restart"/>
            <w:tcBorders>
              <w:bottom w:val="nil"/>
            </w:tcBorders>
            <w:vAlign w:val="top"/>
          </w:tcPr>
          <w:p w14:paraId="19329C24">
            <w:pPr>
              <w:spacing w:line="318" w:lineRule="auto"/>
              <w:rPr>
                <w:rFonts w:ascii="Arial"/>
                <w:sz w:val="21"/>
              </w:rPr>
            </w:pPr>
          </w:p>
          <w:p w14:paraId="285777E1">
            <w:pPr>
              <w:pStyle w:val="6"/>
              <w:spacing w:before="68" w:line="220" w:lineRule="auto"/>
              <w:ind w:left="224"/>
            </w:pPr>
            <w:r>
              <w:rPr>
                <w:spacing w:val="2"/>
              </w:rPr>
              <w:t>石拐区自然资源局</w:t>
            </w:r>
          </w:p>
        </w:tc>
        <w:tc>
          <w:tcPr>
            <w:tcW w:w="2128" w:type="dxa"/>
            <w:vAlign w:val="top"/>
          </w:tcPr>
          <w:p w14:paraId="1A36CDB1">
            <w:pPr>
              <w:pStyle w:val="6"/>
              <w:spacing w:before="57" w:line="213" w:lineRule="auto"/>
              <w:ind w:left="743"/>
            </w:pPr>
            <w:r>
              <w:rPr>
                <w:spacing w:val="-2"/>
              </w:rPr>
              <w:t>郝春光</w:t>
            </w:r>
          </w:p>
        </w:tc>
        <w:tc>
          <w:tcPr>
            <w:tcW w:w="2128" w:type="dxa"/>
            <w:vAlign w:val="top"/>
          </w:tcPr>
          <w:p w14:paraId="4193E5B1">
            <w:pPr>
              <w:pStyle w:val="6"/>
              <w:spacing w:before="58" w:line="212" w:lineRule="auto"/>
              <w:ind w:left="844"/>
            </w:pPr>
            <w:r>
              <w:rPr>
                <w:spacing w:val="4"/>
              </w:rPr>
              <w:t>局长</w:t>
            </w:r>
          </w:p>
        </w:tc>
        <w:tc>
          <w:tcPr>
            <w:tcW w:w="2142" w:type="dxa"/>
            <w:vAlign w:val="top"/>
          </w:tcPr>
          <w:p w14:paraId="2E08CF3C">
            <w:pPr>
              <w:pStyle w:val="6"/>
              <w:spacing w:before="78" w:line="195" w:lineRule="auto"/>
              <w:ind w:left="487"/>
            </w:pPr>
            <w:r>
              <w:rPr>
                <w:spacing w:val="-2"/>
              </w:rPr>
              <w:t>18686111113</w:t>
            </w:r>
          </w:p>
        </w:tc>
      </w:tr>
      <w:tr w14:paraId="2151B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42" w:type="dxa"/>
            <w:vMerge w:val="continue"/>
            <w:tcBorders>
              <w:top w:val="nil"/>
              <w:bottom w:val="nil"/>
            </w:tcBorders>
            <w:vAlign w:val="top"/>
          </w:tcPr>
          <w:p w14:paraId="0102C14B">
            <w:pPr>
              <w:rPr>
                <w:rFonts w:ascii="Arial"/>
                <w:sz w:val="21"/>
              </w:rPr>
            </w:pPr>
          </w:p>
        </w:tc>
        <w:tc>
          <w:tcPr>
            <w:tcW w:w="2128" w:type="dxa"/>
            <w:vAlign w:val="top"/>
          </w:tcPr>
          <w:p w14:paraId="0D2D7FAA">
            <w:pPr>
              <w:pStyle w:val="6"/>
              <w:spacing w:before="66" w:line="213" w:lineRule="auto"/>
              <w:ind w:left="843"/>
            </w:pPr>
            <w:r>
              <w:rPr>
                <w:spacing w:val="5"/>
              </w:rPr>
              <w:t>杨虎</w:t>
            </w:r>
          </w:p>
        </w:tc>
        <w:tc>
          <w:tcPr>
            <w:tcW w:w="2128" w:type="dxa"/>
            <w:vAlign w:val="top"/>
          </w:tcPr>
          <w:p w14:paraId="2428AD19">
            <w:pPr>
              <w:pStyle w:val="6"/>
              <w:spacing w:before="67" w:line="212" w:lineRule="auto"/>
              <w:ind w:left="745"/>
            </w:pPr>
            <w:r>
              <w:rPr>
                <w:spacing w:val="3"/>
              </w:rPr>
              <w:t>副局长</w:t>
            </w:r>
          </w:p>
        </w:tc>
        <w:tc>
          <w:tcPr>
            <w:tcW w:w="2142" w:type="dxa"/>
            <w:vAlign w:val="top"/>
          </w:tcPr>
          <w:p w14:paraId="231BE5CF">
            <w:pPr>
              <w:pStyle w:val="6"/>
              <w:spacing w:before="88" w:line="194" w:lineRule="auto"/>
              <w:ind w:left="487"/>
            </w:pPr>
            <w:r>
              <w:rPr>
                <w:spacing w:val="-2"/>
              </w:rPr>
              <w:t>15848878699</w:t>
            </w:r>
          </w:p>
        </w:tc>
      </w:tr>
      <w:tr w14:paraId="526AB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continue"/>
            <w:tcBorders>
              <w:top w:val="nil"/>
            </w:tcBorders>
            <w:vAlign w:val="top"/>
          </w:tcPr>
          <w:p w14:paraId="2D50B966">
            <w:pPr>
              <w:rPr>
                <w:rFonts w:ascii="Arial"/>
                <w:sz w:val="21"/>
              </w:rPr>
            </w:pPr>
          </w:p>
        </w:tc>
        <w:tc>
          <w:tcPr>
            <w:tcW w:w="2128" w:type="dxa"/>
            <w:vAlign w:val="top"/>
          </w:tcPr>
          <w:p w14:paraId="568F8F97">
            <w:pPr>
              <w:pStyle w:val="6"/>
              <w:spacing w:before="58" w:line="212" w:lineRule="auto"/>
              <w:ind w:left="843"/>
            </w:pPr>
            <w:r>
              <w:rPr>
                <w:spacing w:val="6"/>
              </w:rPr>
              <w:t>王芳</w:t>
            </w:r>
          </w:p>
        </w:tc>
        <w:tc>
          <w:tcPr>
            <w:tcW w:w="2128" w:type="dxa"/>
            <w:vAlign w:val="top"/>
          </w:tcPr>
          <w:p w14:paraId="10CEB9B3">
            <w:pPr>
              <w:pStyle w:val="6"/>
              <w:spacing w:before="58" w:line="212" w:lineRule="auto"/>
              <w:ind w:left="534"/>
            </w:pPr>
            <w:r>
              <w:rPr>
                <w:spacing w:val="1"/>
              </w:rPr>
              <w:t>办公室主任</w:t>
            </w:r>
          </w:p>
        </w:tc>
        <w:tc>
          <w:tcPr>
            <w:tcW w:w="2142" w:type="dxa"/>
            <w:vAlign w:val="top"/>
          </w:tcPr>
          <w:p w14:paraId="7D9A9C53">
            <w:pPr>
              <w:pStyle w:val="6"/>
              <w:spacing w:before="79" w:line="194" w:lineRule="auto"/>
              <w:ind w:left="487"/>
            </w:pPr>
            <w:r>
              <w:rPr>
                <w:spacing w:val="-2"/>
              </w:rPr>
              <w:t>13789520762</w:t>
            </w:r>
          </w:p>
        </w:tc>
      </w:tr>
      <w:tr w14:paraId="30CED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42" w:type="dxa"/>
            <w:vMerge w:val="restart"/>
            <w:tcBorders>
              <w:bottom w:val="nil"/>
            </w:tcBorders>
            <w:vAlign w:val="top"/>
          </w:tcPr>
          <w:p w14:paraId="4678424E">
            <w:pPr>
              <w:pStyle w:val="6"/>
              <w:spacing w:before="219" w:line="220" w:lineRule="auto"/>
              <w:ind w:left="325"/>
            </w:pPr>
            <w:r>
              <w:rPr>
                <w:spacing w:val="1"/>
              </w:rPr>
              <w:t>石拐区消防大队</w:t>
            </w:r>
          </w:p>
        </w:tc>
        <w:tc>
          <w:tcPr>
            <w:tcW w:w="2128" w:type="dxa"/>
            <w:vAlign w:val="top"/>
          </w:tcPr>
          <w:p w14:paraId="16EFDB4C">
            <w:pPr>
              <w:pStyle w:val="6"/>
              <w:spacing w:before="58" w:line="212" w:lineRule="auto"/>
              <w:ind w:left="743"/>
            </w:pPr>
            <w:r>
              <w:rPr>
                <w:spacing w:val="4"/>
              </w:rPr>
              <w:t>白晓飞</w:t>
            </w:r>
          </w:p>
        </w:tc>
        <w:tc>
          <w:tcPr>
            <w:tcW w:w="2128" w:type="dxa"/>
            <w:vAlign w:val="top"/>
          </w:tcPr>
          <w:p w14:paraId="62D6A72D">
            <w:pPr>
              <w:pStyle w:val="6"/>
              <w:spacing w:before="58" w:line="212" w:lineRule="auto"/>
              <w:ind w:left="745"/>
            </w:pPr>
            <w:r>
              <w:rPr>
                <w:spacing w:val="9"/>
              </w:rPr>
              <w:t>教导员</w:t>
            </w:r>
          </w:p>
        </w:tc>
        <w:tc>
          <w:tcPr>
            <w:tcW w:w="2142" w:type="dxa"/>
            <w:vAlign w:val="top"/>
          </w:tcPr>
          <w:p w14:paraId="0A00D5CB">
            <w:pPr>
              <w:pStyle w:val="6"/>
              <w:spacing w:before="79" w:line="194" w:lineRule="auto"/>
              <w:ind w:left="487"/>
            </w:pPr>
            <w:r>
              <w:rPr>
                <w:spacing w:val="-2"/>
              </w:rPr>
              <w:t>18747205353</w:t>
            </w:r>
          </w:p>
        </w:tc>
      </w:tr>
      <w:tr w14:paraId="1FD23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2142" w:type="dxa"/>
            <w:vMerge w:val="continue"/>
            <w:tcBorders>
              <w:top w:val="nil"/>
            </w:tcBorders>
            <w:vAlign w:val="top"/>
          </w:tcPr>
          <w:p w14:paraId="75894D21">
            <w:pPr>
              <w:rPr>
                <w:rFonts w:ascii="Arial"/>
                <w:sz w:val="21"/>
              </w:rPr>
            </w:pPr>
          </w:p>
        </w:tc>
        <w:tc>
          <w:tcPr>
            <w:tcW w:w="2128" w:type="dxa"/>
            <w:vAlign w:val="top"/>
          </w:tcPr>
          <w:p w14:paraId="32C320F4">
            <w:pPr>
              <w:pStyle w:val="6"/>
              <w:spacing w:before="59" w:line="216" w:lineRule="auto"/>
              <w:ind w:left="743"/>
            </w:pPr>
            <w:r>
              <w:rPr>
                <w:spacing w:val="-3"/>
              </w:rPr>
              <w:t>苗永旺</w:t>
            </w:r>
          </w:p>
        </w:tc>
        <w:tc>
          <w:tcPr>
            <w:tcW w:w="2128" w:type="dxa"/>
            <w:vAlign w:val="top"/>
          </w:tcPr>
          <w:p w14:paraId="3D1F223F">
            <w:pPr>
              <w:pStyle w:val="6"/>
              <w:spacing w:before="62" w:line="213" w:lineRule="auto"/>
              <w:ind w:left="844"/>
            </w:pPr>
            <w:r>
              <w:rPr>
                <w:spacing w:val="4"/>
              </w:rPr>
              <w:t>队长</w:t>
            </w:r>
          </w:p>
        </w:tc>
        <w:tc>
          <w:tcPr>
            <w:tcW w:w="2142" w:type="dxa"/>
            <w:vAlign w:val="top"/>
          </w:tcPr>
          <w:p w14:paraId="1390A8AB">
            <w:pPr>
              <w:pStyle w:val="6"/>
              <w:spacing w:before="79" w:line="198" w:lineRule="auto"/>
              <w:ind w:left="487"/>
            </w:pPr>
            <w:r>
              <w:rPr>
                <w:spacing w:val="-2"/>
              </w:rPr>
              <w:t>15849256999</w:t>
            </w:r>
          </w:p>
        </w:tc>
      </w:tr>
    </w:tbl>
    <w:p w14:paraId="68DC5AD8">
      <w:pPr>
        <w:spacing w:line="139" w:lineRule="exact"/>
        <w:rPr>
          <w:rFonts w:ascii="Arial"/>
          <w:sz w:val="12"/>
        </w:rPr>
      </w:pPr>
    </w:p>
    <w:p w14:paraId="43BBA469">
      <w:pPr>
        <w:spacing w:line="139" w:lineRule="exact"/>
        <w:rPr>
          <w:rFonts w:ascii="Arial" w:hAnsi="Arial" w:eastAsia="Arial" w:cs="Arial"/>
          <w:sz w:val="12"/>
          <w:szCs w:val="12"/>
        </w:rPr>
        <w:sectPr>
          <w:footerReference r:id="rId41" w:type="default"/>
          <w:pgSz w:w="11910" w:h="16850"/>
          <w:pgMar w:top="1432" w:right="1786" w:bottom="1325" w:left="1554" w:header="0" w:footer="1163" w:gutter="0"/>
          <w:cols w:space="720" w:num="1"/>
        </w:sectPr>
      </w:pPr>
    </w:p>
    <w:tbl>
      <w:tblPr>
        <w:tblStyle w:val="5"/>
        <w:tblW w:w="85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2"/>
        <w:gridCol w:w="2128"/>
        <w:gridCol w:w="2137"/>
        <w:gridCol w:w="2142"/>
      </w:tblGrid>
      <w:tr w14:paraId="7B4AC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132" w:type="dxa"/>
            <w:vAlign w:val="top"/>
          </w:tcPr>
          <w:p w14:paraId="23939241">
            <w:pPr>
              <w:pStyle w:val="6"/>
              <w:spacing w:before="111" w:line="220" w:lineRule="auto"/>
              <w:ind w:left="848"/>
            </w:pPr>
            <w:r>
              <w:rPr>
                <w:b/>
                <w:bCs/>
                <w:color w:val="404050"/>
                <w:spacing w:val="-5"/>
              </w:rPr>
              <w:t>单位</w:t>
            </w:r>
          </w:p>
        </w:tc>
        <w:tc>
          <w:tcPr>
            <w:tcW w:w="2128" w:type="dxa"/>
            <w:vAlign w:val="top"/>
          </w:tcPr>
          <w:p w14:paraId="653060F1">
            <w:pPr>
              <w:pStyle w:val="6"/>
              <w:spacing w:before="113" w:line="221" w:lineRule="auto"/>
              <w:ind w:left="745"/>
            </w:pPr>
            <w:r>
              <w:rPr>
                <w:b/>
                <w:bCs/>
                <w:color w:val="506060"/>
                <w:spacing w:val="-5"/>
              </w:rPr>
              <w:t>联系人</w:t>
            </w:r>
          </w:p>
        </w:tc>
        <w:tc>
          <w:tcPr>
            <w:tcW w:w="2137" w:type="dxa"/>
            <w:vAlign w:val="top"/>
          </w:tcPr>
          <w:p w14:paraId="0B230FF9">
            <w:pPr>
              <w:pStyle w:val="6"/>
              <w:spacing w:before="110" w:line="219" w:lineRule="auto"/>
              <w:ind w:left="857"/>
            </w:pPr>
            <w:r>
              <w:rPr>
                <w:b/>
                <w:bCs/>
                <w:spacing w:val="-7"/>
              </w:rPr>
              <w:t>职</w:t>
            </w:r>
            <w:r>
              <w:rPr>
                <w:b/>
                <w:bCs/>
                <w:color w:val="505050"/>
                <w:spacing w:val="-7"/>
              </w:rPr>
              <w:t>务</w:t>
            </w:r>
          </w:p>
        </w:tc>
        <w:tc>
          <w:tcPr>
            <w:tcW w:w="2142" w:type="dxa"/>
            <w:vAlign w:val="top"/>
          </w:tcPr>
          <w:p w14:paraId="161E77E4">
            <w:pPr>
              <w:pStyle w:val="6"/>
              <w:spacing w:before="113" w:line="221" w:lineRule="auto"/>
              <w:ind w:left="651"/>
            </w:pPr>
            <w:r>
              <w:rPr>
                <w:b/>
                <w:bCs/>
                <w:color w:val="505050"/>
                <w:spacing w:val="-1"/>
              </w:rPr>
              <w:t>联系</w:t>
            </w:r>
            <w:r>
              <w:rPr>
                <w:b/>
                <w:bCs/>
                <w:color w:val="404040"/>
                <w:spacing w:val="-1"/>
              </w:rPr>
              <w:t>电话</w:t>
            </w:r>
          </w:p>
        </w:tc>
      </w:tr>
      <w:tr w14:paraId="4DB55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132" w:type="dxa"/>
            <w:vAlign w:val="top"/>
          </w:tcPr>
          <w:p w14:paraId="35111786">
            <w:pPr>
              <w:rPr>
                <w:rFonts w:ascii="Arial"/>
                <w:sz w:val="21"/>
              </w:rPr>
            </w:pPr>
          </w:p>
        </w:tc>
        <w:tc>
          <w:tcPr>
            <w:tcW w:w="2128" w:type="dxa"/>
            <w:vAlign w:val="top"/>
          </w:tcPr>
          <w:p w14:paraId="641CB98B">
            <w:pPr>
              <w:pStyle w:val="6"/>
              <w:spacing w:before="51" w:line="218" w:lineRule="auto"/>
              <w:ind w:left="843"/>
            </w:pPr>
            <w:r>
              <w:rPr>
                <w:spacing w:val="7"/>
              </w:rPr>
              <w:t>赵刚</w:t>
            </w:r>
          </w:p>
        </w:tc>
        <w:tc>
          <w:tcPr>
            <w:tcW w:w="2137" w:type="dxa"/>
            <w:vAlign w:val="top"/>
          </w:tcPr>
          <w:p w14:paraId="69375B58">
            <w:pPr>
              <w:pStyle w:val="6"/>
              <w:spacing w:before="49" w:line="219" w:lineRule="auto"/>
              <w:ind w:left="534"/>
            </w:pPr>
            <w:r>
              <w:rPr>
                <w:spacing w:val="1"/>
              </w:rPr>
              <w:t>办公室主任</w:t>
            </w:r>
          </w:p>
        </w:tc>
        <w:tc>
          <w:tcPr>
            <w:tcW w:w="2142" w:type="dxa"/>
            <w:vAlign w:val="top"/>
          </w:tcPr>
          <w:p w14:paraId="2E8B886C">
            <w:pPr>
              <w:pStyle w:val="6"/>
              <w:spacing w:before="70" w:line="201" w:lineRule="auto"/>
              <w:ind w:left="487"/>
            </w:pPr>
            <w:r>
              <w:rPr>
                <w:spacing w:val="-2"/>
              </w:rPr>
              <w:t>13624721119</w:t>
            </w:r>
          </w:p>
        </w:tc>
      </w:tr>
      <w:tr w14:paraId="34D4C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32" w:type="dxa"/>
            <w:vMerge w:val="restart"/>
            <w:tcBorders>
              <w:bottom w:val="nil"/>
            </w:tcBorders>
            <w:vAlign w:val="top"/>
          </w:tcPr>
          <w:p w14:paraId="2A0E038A">
            <w:pPr>
              <w:spacing w:line="299" w:lineRule="auto"/>
              <w:rPr>
                <w:rFonts w:ascii="Arial"/>
                <w:sz w:val="21"/>
              </w:rPr>
            </w:pPr>
          </w:p>
          <w:p w14:paraId="7AC54CEA">
            <w:pPr>
              <w:pStyle w:val="6"/>
              <w:spacing w:before="68" w:line="219" w:lineRule="auto"/>
              <w:ind w:left="114"/>
            </w:pPr>
            <w:r>
              <w:rPr>
                <w:color w:val="405050"/>
                <w:spacing w:val="2"/>
              </w:rPr>
              <w:t>包头供电局石拐分局</w:t>
            </w:r>
          </w:p>
        </w:tc>
        <w:tc>
          <w:tcPr>
            <w:tcW w:w="2128" w:type="dxa"/>
            <w:vAlign w:val="top"/>
          </w:tcPr>
          <w:p w14:paraId="5A61453C">
            <w:pPr>
              <w:pStyle w:val="6"/>
              <w:spacing w:before="50" w:line="219" w:lineRule="auto"/>
              <w:ind w:left="742"/>
            </w:pPr>
            <w:r>
              <w:rPr>
                <w:spacing w:val="3"/>
              </w:rPr>
              <w:t>郭继清</w:t>
            </w:r>
          </w:p>
        </w:tc>
        <w:tc>
          <w:tcPr>
            <w:tcW w:w="2137" w:type="dxa"/>
            <w:vAlign w:val="top"/>
          </w:tcPr>
          <w:p w14:paraId="59C33D3B">
            <w:pPr>
              <w:pStyle w:val="6"/>
              <w:spacing w:before="52" w:line="218" w:lineRule="auto"/>
              <w:ind w:left="854"/>
            </w:pPr>
            <w:r>
              <w:rPr>
                <w:spacing w:val="4"/>
              </w:rPr>
              <w:t>局长</w:t>
            </w:r>
          </w:p>
        </w:tc>
        <w:tc>
          <w:tcPr>
            <w:tcW w:w="2142" w:type="dxa"/>
            <w:vAlign w:val="top"/>
          </w:tcPr>
          <w:p w14:paraId="33138F68">
            <w:pPr>
              <w:pStyle w:val="6"/>
              <w:spacing w:before="71" w:line="201" w:lineRule="auto"/>
              <w:ind w:left="487"/>
            </w:pPr>
            <w:r>
              <w:rPr>
                <w:spacing w:val="-2"/>
              </w:rPr>
              <w:t>13947290889</w:t>
            </w:r>
          </w:p>
        </w:tc>
      </w:tr>
      <w:tr w14:paraId="50ABE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32" w:type="dxa"/>
            <w:vMerge w:val="continue"/>
            <w:tcBorders>
              <w:top w:val="nil"/>
              <w:bottom w:val="nil"/>
            </w:tcBorders>
            <w:vAlign w:val="top"/>
          </w:tcPr>
          <w:p w14:paraId="54BCAFD9">
            <w:pPr>
              <w:rPr>
                <w:rFonts w:ascii="Arial"/>
                <w:sz w:val="21"/>
              </w:rPr>
            </w:pPr>
          </w:p>
        </w:tc>
        <w:tc>
          <w:tcPr>
            <w:tcW w:w="2128" w:type="dxa"/>
            <w:vAlign w:val="top"/>
          </w:tcPr>
          <w:p w14:paraId="11427D75">
            <w:pPr>
              <w:pStyle w:val="6"/>
              <w:spacing w:before="52" w:line="218" w:lineRule="auto"/>
              <w:ind w:left="742"/>
            </w:pPr>
            <w:r>
              <w:rPr>
                <w:spacing w:val="5"/>
              </w:rPr>
              <w:t>罗蔚宁</w:t>
            </w:r>
          </w:p>
        </w:tc>
        <w:tc>
          <w:tcPr>
            <w:tcW w:w="2137" w:type="dxa"/>
            <w:vAlign w:val="top"/>
          </w:tcPr>
          <w:p w14:paraId="5ECCF5EE">
            <w:pPr>
              <w:pStyle w:val="6"/>
              <w:spacing w:before="50" w:line="219" w:lineRule="auto"/>
              <w:ind w:left="744"/>
            </w:pPr>
            <w:r>
              <w:rPr>
                <w:spacing w:val="3"/>
              </w:rPr>
              <w:t>副局长</w:t>
            </w:r>
          </w:p>
        </w:tc>
        <w:tc>
          <w:tcPr>
            <w:tcW w:w="2142" w:type="dxa"/>
            <w:vAlign w:val="top"/>
          </w:tcPr>
          <w:p w14:paraId="02E85FF9">
            <w:pPr>
              <w:pStyle w:val="6"/>
              <w:spacing w:before="71" w:line="201" w:lineRule="auto"/>
              <w:ind w:left="487"/>
            </w:pPr>
            <w:r>
              <w:rPr>
                <w:spacing w:val="-2"/>
              </w:rPr>
              <w:t>13904722141</w:t>
            </w:r>
          </w:p>
        </w:tc>
      </w:tr>
      <w:tr w14:paraId="781EE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32" w:type="dxa"/>
            <w:vMerge w:val="continue"/>
            <w:tcBorders>
              <w:top w:val="nil"/>
            </w:tcBorders>
            <w:vAlign w:val="top"/>
          </w:tcPr>
          <w:p w14:paraId="5BD79A0C">
            <w:pPr>
              <w:rPr>
                <w:rFonts w:ascii="Arial"/>
                <w:sz w:val="21"/>
              </w:rPr>
            </w:pPr>
          </w:p>
        </w:tc>
        <w:tc>
          <w:tcPr>
            <w:tcW w:w="2128" w:type="dxa"/>
            <w:vAlign w:val="top"/>
          </w:tcPr>
          <w:p w14:paraId="38392421">
            <w:pPr>
              <w:pStyle w:val="6"/>
              <w:spacing w:before="50" w:line="219" w:lineRule="auto"/>
              <w:ind w:left="742"/>
            </w:pPr>
            <w:r>
              <w:rPr>
                <w:spacing w:val="2"/>
              </w:rPr>
              <w:t>郭永权</w:t>
            </w:r>
          </w:p>
        </w:tc>
        <w:tc>
          <w:tcPr>
            <w:tcW w:w="2137" w:type="dxa"/>
            <w:vAlign w:val="top"/>
          </w:tcPr>
          <w:p w14:paraId="5087CCC5">
            <w:pPr>
              <w:pStyle w:val="6"/>
              <w:spacing w:before="50" w:line="219" w:lineRule="auto"/>
              <w:ind w:left="534"/>
            </w:pPr>
            <w:r>
              <w:rPr>
                <w:spacing w:val="1"/>
              </w:rPr>
              <w:t>办公室主任</w:t>
            </w:r>
          </w:p>
        </w:tc>
        <w:tc>
          <w:tcPr>
            <w:tcW w:w="2142" w:type="dxa"/>
            <w:vAlign w:val="top"/>
          </w:tcPr>
          <w:p w14:paraId="1F5432A3">
            <w:pPr>
              <w:pStyle w:val="6"/>
              <w:spacing w:before="71" w:line="201" w:lineRule="auto"/>
              <w:ind w:left="487"/>
            </w:pPr>
            <w:r>
              <w:rPr>
                <w:spacing w:val="-2"/>
              </w:rPr>
              <w:t>13947296000</w:t>
            </w:r>
          </w:p>
        </w:tc>
      </w:tr>
      <w:tr w14:paraId="50641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32" w:type="dxa"/>
            <w:vMerge w:val="restart"/>
            <w:tcBorders>
              <w:bottom w:val="nil"/>
            </w:tcBorders>
            <w:vAlign w:val="top"/>
          </w:tcPr>
          <w:p w14:paraId="26A3FCDE">
            <w:pPr>
              <w:spacing w:line="310" w:lineRule="auto"/>
              <w:rPr>
                <w:rFonts w:ascii="Arial"/>
                <w:sz w:val="21"/>
              </w:rPr>
            </w:pPr>
          </w:p>
          <w:p w14:paraId="2C2F773B">
            <w:pPr>
              <w:pStyle w:val="6"/>
              <w:spacing w:before="68" w:line="219" w:lineRule="auto"/>
              <w:ind w:left="424"/>
            </w:pPr>
            <w:r>
              <w:rPr>
                <w:color w:val="304040"/>
                <w:spacing w:val="3"/>
              </w:rPr>
              <w:t>石拐区教育局</w:t>
            </w:r>
          </w:p>
        </w:tc>
        <w:tc>
          <w:tcPr>
            <w:tcW w:w="2128" w:type="dxa"/>
            <w:vAlign w:val="top"/>
          </w:tcPr>
          <w:p w14:paraId="4554B94F">
            <w:pPr>
              <w:pStyle w:val="6"/>
              <w:spacing w:before="53" w:line="217" w:lineRule="auto"/>
              <w:ind w:left="843"/>
            </w:pPr>
            <w:r>
              <w:rPr>
                <w:spacing w:val="5"/>
              </w:rPr>
              <w:t>张冬</w:t>
            </w:r>
          </w:p>
        </w:tc>
        <w:tc>
          <w:tcPr>
            <w:tcW w:w="2137" w:type="dxa"/>
            <w:vAlign w:val="top"/>
          </w:tcPr>
          <w:p w14:paraId="4F72A1C3">
            <w:pPr>
              <w:pStyle w:val="6"/>
              <w:spacing w:before="52" w:line="218" w:lineRule="auto"/>
              <w:ind w:left="854"/>
            </w:pPr>
            <w:r>
              <w:rPr>
                <w:spacing w:val="4"/>
              </w:rPr>
              <w:t>局长</w:t>
            </w:r>
          </w:p>
        </w:tc>
        <w:tc>
          <w:tcPr>
            <w:tcW w:w="2142" w:type="dxa"/>
            <w:vAlign w:val="top"/>
          </w:tcPr>
          <w:p w14:paraId="08481679">
            <w:pPr>
              <w:pStyle w:val="6"/>
              <w:spacing w:before="71" w:line="201" w:lineRule="auto"/>
              <w:ind w:left="537"/>
            </w:pPr>
            <w:r>
              <w:rPr>
                <w:spacing w:val="-3"/>
              </w:rPr>
              <w:t>1394873923</w:t>
            </w:r>
          </w:p>
        </w:tc>
      </w:tr>
      <w:tr w14:paraId="2A61C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132" w:type="dxa"/>
            <w:vMerge w:val="continue"/>
            <w:tcBorders>
              <w:top w:val="nil"/>
              <w:bottom w:val="nil"/>
            </w:tcBorders>
            <w:vAlign w:val="top"/>
          </w:tcPr>
          <w:p w14:paraId="6C84C38B">
            <w:pPr>
              <w:rPr>
                <w:rFonts w:ascii="Arial"/>
                <w:sz w:val="21"/>
              </w:rPr>
            </w:pPr>
          </w:p>
        </w:tc>
        <w:tc>
          <w:tcPr>
            <w:tcW w:w="2128" w:type="dxa"/>
            <w:vAlign w:val="top"/>
          </w:tcPr>
          <w:p w14:paraId="588FCBE4">
            <w:pPr>
              <w:pStyle w:val="6"/>
              <w:spacing w:before="63" w:line="216" w:lineRule="auto"/>
              <w:ind w:left="742"/>
            </w:pPr>
            <w:r>
              <w:rPr>
                <w:spacing w:val="4"/>
              </w:rPr>
              <w:t>田锡钢</w:t>
            </w:r>
          </w:p>
        </w:tc>
        <w:tc>
          <w:tcPr>
            <w:tcW w:w="2137" w:type="dxa"/>
            <w:vAlign w:val="top"/>
          </w:tcPr>
          <w:p w14:paraId="0EB13B4F">
            <w:pPr>
              <w:pStyle w:val="6"/>
              <w:spacing w:before="59" w:line="219" w:lineRule="auto"/>
              <w:ind w:left="744"/>
            </w:pPr>
            <w:r>
              <w:rPr>
                <w:spacing w:val="3"/>
              </w:rPr>
              <w:t>副局长</w:t>
            </w:r>
          </w:p>
        </w:tc>
        <w:tc>
          <w:tcPr>
            <w:tcW w:w="2142" w:type="dxa"/>
            <w:vAlign w:val="top"/>
          </w:tcPr>
          <w:p w14:paraId="77F21B81">
            <w:pPr>
              <w:pStyle w:val="6"/>
              <w:spacing w:before="81" w:line="200" w:lineRule="auto"/>
              <w:ind w:left="487"/>
            </w:pPr>
            <w:r>
              <w:rPr>
                <w:spacing w:val="-2"/>
              </w:rPr>
              <w:t>13848239468</w:t>
            </w:r>
          </w:p>
        </w:tc>
      </w:tr>
      <w:tr w14:paraId="37F4E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32" w:type="dxa"/>
            <w:vMerge w:val="continue"/>
            <w:tcBorders>
              <w:top w:val="nil"/>
            </w:tcBorders>
            <w:vAlign w:val="top"/>
          </w:tcPr>
          <w:p w14:paraId="6029444C">
            <w:pPr>
              <w:rPr>
                <w:rFonts w:ascii="Arial"/>
                <w:sz w:val="21"/>
              </w:rPr>
            </w:pPr>
          </w:p>
        </w:tc>
        <w:tc>
          <w:tcPr>
            <w:tcW w:w="2128" w:type="dxa"/>
            <w:vAlign w:val="top"/>
          </w:tcPr>
          <w:p w14:paraId="43107981">
            <w:pPr>
              <w:pStyle w:val="6"/>
              <w:spacing w:before="53" w:line="217" w:lineRule="auto"/>
              <w:ind w:left="742"/>
            </w:pPr>
            <w:r>
              <w:rPr>
                <w:spacing w:val="-3"/>
              </w:rPr>
              <w:t>李志成</w:t>
            </w:r>
          </w:p>
        </w:tc>
        <w:tc>
          <w:tcPr>
            <w:tcW w:w="2137" w:type="dxa"/>
            <w:vAlign w:val="top"/>
          </w:tcPr>
          <w:p w14:paraId="49EEEB0C">
            <w:pPr>
              <w:pStyle w:val="6"/>
              <w:spacing w:before="50" w:line="219" w:lineRule="auto"/>
              <w:ind w:left="534"/>
            </w:pPr>
            <w:r>
              <w:rPr>
                <w:spacing w:val="1"/>
              </w:rPr>
              <w:t>办公室主任</w:t>
            </w:r>
          </w:p>
        </w:tc>
        <w:tc>
          <w:tcPr>
            <w:tcW w:w="2142" w:type="dxa"/>
            <w:vAlign w:val="top"/>
          </w:tcPr>
          <w:p w14:paraId="495227F1">
            <w:pPr>
              <w:pStyle w:val="6"/>
              <w:spacing w:before="72" w:line="200" w:lineRule="auto"/>
              <w:ind w:left="487"/>
            </w:pPr>
            <w:r>
              <w:rPr>
                <w:spacing w:val="-2"/>
              </w:rPr>
              <w:t>13947242274</w:t>
            </w:r>
          </w:p>
        </w:tc>
      </w:tr>
      <w:tr w14:paraId="43D3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132" w:type="dxa"/>
            <w:vMerge w:val="restart"/>
            <w:tcBorders>
              <w:bottom w:val="nil"/>
            </w:tcBorders>
            <w:vAlign w:val="top"/>
          </w:tcPr>
          <w:p w14:paraId="4F3DDCC6">
            <w:pPr>
              <w:spacing w:line="291" w:lineRule="auto"/>
              <w:rPr>
                <w:rFonts w:ascii="Arial"/>
                <w:sz w:val="21"/>
              </w:rPr>
            </w:pPr>
          </w:p>
          <w:p w14:paraId="26BAC8A4">
            <w:pPr>
              <w:pStyle w:val="6"/>
              <w:spacing w:before="68" w:line="277" w:lineRule="auto"/>
              <w:ind w:left="954" w:right="126" w:hanging="840"/>
            </w:pPr>
            <w:r>
              <w:rPr>
                <w:spacing w:val="-2"/>
              </w:rPr>
              <w:t>石拐区市场监督管理</w:t>
            </w:r>
            <w:r>
              <w:rPr>
                <w:spacing w:val="7"/>
              </w:rPr>
              <w:t xml:space="preserve"> </w:t>
            </w:r>
            <w:r>
              <w:t>局</w:t>
            </w:r>
          </w:p>
        </w:tc>
        <w:tc>
          <w:tcPr>
            <w:tcW w:w="2128" w:type="dxa"/>
            <w:vAlign w:val="top"/>
          </w:tcPr>
          <w:p w14:paraId="621D49AC">
            <w:pPr>
              <w:pStyle w:val="6"/>
              <w:spacing w:before="102" w:line="220" w:lineRule="auto"/>
              <w:ind w:left="742"/>
            </w:pPr>
            <w:r>
              <w:rPr>
                <w:spacing w:val="3"/>
              </w:rPr>
              <w:t>贺文平</w:t>
            </w:r>
          </w:p>
        </w:tc>
        <w:tc>
          <w:tcPr>
            <w:tcW w:w="2137" w:type="dxa"/>
            <w:vAlign w:val="top"/>
          </w:tcPr>
          <w:p w14:paraId="1ECDD86D">
            <w:pPr>
              <w:pStyle w:val="6"/>
              <w:spacing w:before="102" w:line="221" w:lineRule="auto"/>
              <w:ind w:left="854"/>
            </w:pPr>
            <w:r>
              <w:rPr>
                <w:spacing w:val="4"/>
              </w:rPr>
              <w:t>局长</w:t>
            </w:r>
          </w:p>
        </w:tc>
        <w:tc>
          <w:tcPr>
            <w:tcW w:w="2142" w:type="dxa"/>
            <w:vAlign w:val="top"/>
          </w:tcPr>
          <w:p w14:paraId="4D16B085">
            <w:pPr>
              <w:pStyle w:val="6"/>
              <w:spacing w:before="122"/>
              <w:ind w:left="487"/>
            </w:pPr>
            <w:r>
              <w:rPr>
                <w:spacing w:val="-2"/>
              </w:rPr>
              <w:t>13739929666</w:t>
            </w:r>
          </w:p>
        </w:tc>
      </w:tr>
      <w:tr w14:paraId="1869A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132" w:type="dxa"/>
            <w:vMerge w:val="continue"/>
            <w:tcBorders>
              <w:top w:val="nil"/>
              <w:bottom w:val="nil"/>
            </w:tcBorders>
            <w:vAlign w:val="top"/>
          </w:tcPr>
          <w:p w14:paraId="2B20C721">
            <w:pPr>
              <w:rPr>
                <w:rFonts w:ascii="Arial"/>
                <w:sz w:val="21"/>
              </w:rPr>
            </w:pPr>
          </w:p>
        </w:tc>
        <w:tc>
          <w:tcPr>
            <w:tcW w:w="2128" w:type="dxa"/>
            <w:vAlign w:val="top"/>
          </w:tcPr>
          <w:p w14:paraId="724F7CF5">
            <w:pPr>
              <w:pStyle w:val="6"/>
              <w:spacing w:before="93" w:line="220" w:lineRule="auto"/>
              <w:ind w:left="742"/>
            </w:pPr>
            <w:r>
              <w:rPr>
                <w:spacing w:val="5"/>
              </w:rPr>
              <w:t>曹利和</w:t>
            </w:r>
          </w:p>
        </w:tc>
        <w:tc>
          <w:tcPr>
            <w:tcW w:w="2137" w:type="dxa"/>
            <w:vAlign w:val="top"/>
          </w:tcPr>
          <w:p w14:paraId="32B523A1">
            <w:pPr>
              <w:pStyle w:val="6"/>
              <w:spacing w:before="92" w:line="219" w:lineRule="auto"/>
              <w:ind w:left="744"/>
            </w:pPr>
            <w:r>
              <w:rPr>
                <w:spacing w:val="3"/>
              </w:rPr>
              <w:t>副局长</w:t>
            </w:r>
          </w:p>
        </w:tc>
        <w:tc>
          <w:tcPr>
            <w:tcW w:w="2142" w:type="dxa"/>
            <w:vAlign w:val="top"/>
          </w:tcPr>
          <w:p w14:paraId="737A38FD">
            <w:pPr>
              <w:pStyle w:val="6"/>
              <w:spacing w:before="113" w:line="225" w:lineRule="auto"/>
              <w:ind w:left="487"/>
            </w:pPr>
            <w:r>
              <w:rPr>
                <w:spacing w:val="-2"/>
              </w:rPr>
              <w:t>13514893888</w:t>
            </w:r>
          </w:p>
        </w:tc>
      </w:tr>
      <w:tr w14:paraId="3D3D0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132" w:type="dxa"/>
            <w:vMerge w:val="continue"/>
            <w:tcBorders>
              <w:top w:val="nil"/>
            </w:tcBorders>
            <w:vAlign w:val="top"/>
          </w:tcPr>
          <w:p w14:paraId="58555387">
            <w:pPr>
              <w:rPr>
                <w:rFonts w:ascii="Arial"/>
                <w:sz w:val="21"/>
              </w:rPr>
            </w:pPr>
          </w:p>
        </w:tc>
        <w:tc>
          <w:tcPr>
            <w:tcW w:w="2128" w:type="dxa"/>
            <w:vAlign w:val="top"/>
          </w:tcPr>
          <w:p w14:paraId="7A838061">
            <w:pPr>
              <w:pStyle w:val="6"/>
              <w:spacing w:before="123" w:line="219" w:lineRule="auto"/>
              <w:ind w:left="742"/>
            </w:pPr>
            <w:r>
              <w:rPr>
                <w:spacing w:val="4"/>
              </w:rPr>
              <w:t>赵东炜</w:t>
            </w:r>
          </w:p>
        </w:tc>
        <w:tc>
          <w:tcPr>
            <w:tcW w:w="2137" w:type="dxa"/>
            <w:vAlign w:val="top"/>
          </w:tcPr>
          <w:p w14:paraId="25F1A558">
            <w:pPr>
              <w:pStyle w:val="6"/>
              <w:spacing w:before="123" w:line="219" w:lineRule="auto"/>
              <w:ind w:left="534"/>
            </w:pPr>
            <w:r>
              <w:rPr>
                <w:spacing w:val="1"/>
              </w:rPr>
              <w:t>办公室主任</w:t>
            </w:r>
          </w:p>
        </w:tc>
        <w:tc>
          <w:tcPr>
            <w:tcW w:w="2142" w:type="dxa"/>
            <w:vAlign w:val="top"/>
          </w:tcPr>
          <w:p w14:paraId="251C48D8">
            <w:pPr>
              <w:pStyle w:val="6"/>
              <w:spacing w:before="144"/>
              <w:ind w:left="487"/>
            </w:pPr>
            <w:r>
              <w:rPr>
                <w:spacing w:val="-2"/>
              </w:rPr>
              <w:t>15904720704</w:t>
            </w:r>
          </w:p>
        </w:tc>
      </w:tr>
      <w:tr w14:paraId="7F83F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2132" w:type="dxa"/>
            <w:vMerge w:val="restart"/>
            <w:tcBorders>
              <w:bottom w:val="nil"/>
            </w:tcBorders>
            <w:vAlign w:val="top"/>
          </w:tcPr>
          <w:p w14:paraId="54FC0150">
            <w:pPr>
              <w:pStyle w:val="6"/>
              <w:spacing w:before="74" w:line="219" w:lineRule="auto"/>
              <w:ind w:left="114"/>
            </w:pPr>
            <w:r>
              <w:rPr>
                <w:spacing w:val="1"/>
              </w:rPr>
              <w:t>中国联合网络通信股</w:t>
            </w:r>
          </w:p>
          <w:p w14:paraId="48B443E7">
            <w:pPr>
              <w:pStyle w:val="6"/>
              <w:spacing w:before="70" w:line="219" w:lineRule="auto"/>
              <w:ind w:left="114"/>
            </w:pPr>
            <w:r>
              <w:rPr>
                <w:spacing w:val="1"/>
              </w:rPr>
              <w:t>份有限公司石拐分公</w:t>
            </w:r>
          </w:p>
          <w:p w14:paraId="568E1D70">
            <w:pPr>
              <w:pStyle w:val="6"/>
              <w:spacing w:before="53" w:line="221" w:lineRule="auto"/>
              <w:ind w:left="954"/>
            </w:pPr>
            <w:r>
              <w:t>司</w:t>
            </w:r>
          </w:p>
        </w:tc>
        <w:tc>
          <w:tcPr>
            <w:tcW w:w="2128" w:type="dxa"/>
            <w:vAlign w:val="top"/>
          </w:tcPr>
          <w:p w14:paraId="726B615E">
            <w:pPr>
              <w:pStyle w:val="6"/>
              <w:spacing w:before="125" w:line="221" w:lineRule="auto"/>
              <w:ind w:left="843"/>
            </w:pPr>
            <w:r>
              <w:rPr>
                <w:spacing w:val="6"/>
              </w:rPr>
              <w:t>刘钢</w:t>
            </w:r>
          </w:p>
        </w:tc>
        <w:tc>
          <w:tcPr>
            <w:tcW w:w="2137" w:type="dxa"/>
            <w:vAlign w:val="top"/>
          </w:tcPr>
          <w:p w14:paraId="5B70D29C">
            <w:pPr>
              <w:pStyle w:val="6"/>
              <w:spacing w:before="136" w:line="229" w:lineRule="auto"/>
              <w:ind w:left="854"/>
            </w:pPr>
            <w:r>
              <w:rPr>
                <w:spacing w:val="-3"/>
              </w:rPr>
              <w:t>经理</w:t>
            </w:r>
          </w:p>
        </w:tc>
        <w:tc>
          <w:tcPr>
            <w:tcW w:w="2142" w:type="dxa"/>
            <w:vAlign w:val="top"/>
          </w:tcPr>
          <w:p w14:paraId="17736874">
            <w:pPr>
              <w:pStyle w:val="6"/>
              <w:spacing w:before="145"/>
              <w:ind w:left="487"/>
            </w:pPr>
            <w:r>
              <w:rPr>
                <w:spacing w:val="-2"/>
              </w:rPr>
              <w:t>18647213938</w:t>
            </w:r>
          </w:p>
        </w:tc>
      </w:tr>
      <w:tr w14:paraId="3F7DE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2132" w:type="dxa"/>
            <w:vMerge w:val="continue"/>
            <w:tcBorders>
              <w:top w:val="nil"/>
            </w:tcBorders>
            <w:vAlign w:val="top"/>
          </w:tcPr>
          <w:p w14:paraId="42D1C625">
            <w:pPr>
              <w:rPr>
                <w:rFonts w:ascii="Arial"/>
                <w:sz w:val="21"/>
              </w:rPr>
            </w:pPr>
          </w:p>
        </w:tc>
        <w:tc>
          <w:tcPr>
            <w:tcW w:w="2128" w:type="dxa"/>
            <w:vAlign w:val="top"/>
          </w:tcPr>
          <w:p w14:paraId="0F22AE49">
            <w:pPr>
              <w:pStyle w:val="6"/>
              <w:spacing w:before="155" w:line="219" w:lineRule="auto"/>
              <w:ind w:left="742"/>
            </w:pPr>
            <w:r>
              <w:rPr>
                <w:spacing w:val="3"/>
              </w:rPr>
              <w:t>郭庆龙</w:t>
            </w:r>
          </w:p>
        </w:tc>
        <w:tc>
          <w:tcPr>
            <w:tcW w:w="2137" w:type="dxa"/>
            <w:vAlign w:val="top"/>
          </w:tcPr>
          <w:p w14:paraId="23A759AB">
            <w:pPr>
              <w:pStyle w:val="6"/>
              <w:spacing w:before="155" w:line="219" w:lineRule="auto"/>
              <w:ind w:left="534"/>
            </w:pPr>
            <w:r>
              <w:rPr>
                <w:spacing w:val="1"/>
              </w:rPr>
              <w:t>办公室主任</w:t>
            </w:r>
          </w:p>
        </w:tc>
        <w:tc>
          <w:tcPr>
            <w:tcW w:w="2142" w:type="dxa"/>
            <w:vAlign w:val="top"/>
          </w:tcPr>
          <w:p w14:paraId="276A3F84">
            <w:pPr>
              <w:pStyle w:val="6"/>
              <w:spacing w:before="176"/>
              <w:ind w:left="487"/>
            </w:pPr>
            <w:r>
              <w:rPr>
                <w:spacing w:val="-2"/>
              </w:rPr>
              <w:t>13947250216</w:t>
            </w:r>
          </w:p>
        </w:tc>
      </w:tr>
      <w:tr w14:paraId="525AE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132" w:type="dxa"/>
            <w:vMerge w:val="restart"/>
            <w:tcBorders>
              <w:bottom w:val="nil"/>
            </w:tcBorders>
            <w:vAlign w:val="top"/>
          </w:tcPr>
          <w:p w14:paraId="6EED3E17">
            <w:pPr>
              <w:pStyle w:val="6"/>
              <w:spacing w:before="66" w:line="219" w:lineRule="auto"/>
              <w:ind w:left="114"/>
            </w:pPr>
            <w:r>
              <w:rPr>
                <w:spacing w:val="3"/>
              </w:rPr>
              <w:t>中国移动通信集团内</w:t>
            </w:r>
          </w:p>
          <w:p w14:paraId="453B7E8A">
            <w:pPr>
              <w:pStyle w:val="6"/>
              <w:spacing w:before="60" w:line="219" w:lineRule="auto"/>
              <w:ind w:left="114"/>
            </w:pPr>
            <w:r>
              <w:rPr>
                <w:color w:val="304040"/>
                <w:spacing w:val="1"/>
              </w:rPr>
              <w:t>蒙古有限公司石拐分</w:t>
            </w:r>
          </w:p>
          <w:p w14:paraId="4284AC5A">
            <w:pPr>
              <w:pStyle w:val="6"/>
              <w:spacing w:before="53" w:line="221" w:lineRule="auto"/>
              <w:ind w:left="845"/>
            </w:pPr>
            <w:r>
              <w:rPr>
                <w:spacing w:val="14"/>
              </w:rPr>
              <w:t>公司</w:t>
            </w:r>
          </w:p>
        </w:tc>
        <w:tc>
          <w:tcPr>
            <w:tcW w:w="2128" w:type="dxa"/>
            <w:vAlign w:val="top"/>
          </w:tcPr>
          <w:p w14:paraId="176EE124">
            <w:pPr>
              <w:pStyle w:val="6"/>
              <w:spacing w:before="106" w:line="219" w:lineRule="auto"/>
              <w:ind w:left="742"/>
            </w:pPr>
            <w:r>
              <w:rPr>
                <w:spacing w:val="3"/>
              </w:rPr>
              <w:t>杨成文</w:t>
            </w:r>
          </w:p>
        </w:tc>
        <w:tc>
          <w:tcPr>
            <w:tcW w:w="2137" w:type="dxa"/>
            <w:vAlign w:val="top"/>
          </w:tcPr>
          <w:p w14:paraId="2152D8FF">
            <w:pPr>
              <w:pStyle w:val="6"/>
              <w:spacing w:before="118" w:line="229" w:lineRule="auto"/>
              <w:ind w:left="854"/>
            </w:pPr>
            <w:r>
              <w:rPr>
                <w:spacing w:val="-3"/>
              </w:rPr>
              <w:t>经理</w:t>
            </w:r>
          </w:p>
        </w:tc>
        <w:tc>
          <w:tcPr>
            <w:tcW w:w="2142" w:type="dxa"/>
            <w:vAlign w:val="top"/>
          </w:tcPr>
          <w:p w14:paraId="028F071D">
            <w:pPr>
              <w:pStyle w:val="6"/>
              <w:spacing w:before="127" w:line="239" w:lineRule="auto"/>
              <w:ind w:left="487"/>
            </w:pPr>
            <w:r>
              <w:rPr>
                <w:spacing w:val="-2"/>
              </w:rPr>
              <w:t>13604721918</w:t>
            </w:r>
          </w:p>
        </w:tc>
      </w:tr>
      <w:tr w14:paraId="5AF86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2132" w:type="dxa"/>
            <w:vMerge w:val="continue"/>
            <w:tcBorders>
              <w:top w:val="nil"/>
            </w:tcBorders>
            <w:vAlign w:val="top"/>
          </w:tcPr>
          <w:p w14:paraId="4F361E3B">
            <w:pPr>
              <w:rPr>
                <w:rFonts w:ascii="Arial"/>
                <w:sz w:val="21"/>
              </w:rPr>
            </w:pPr>
          </w:p>
        </w:tc>
        <w:tc>
          <w:tcPr>
            <w:tcW w:w="2128" w:type="dxa"/>
            <w:vAlign w:val="top"/>
          </w:tcPr>
          <w:p w14:paraId="36288891">
            <w:pPr>
              <w:pStyle w:val="6"/>
              <w:spacing w:before="167" w:line="219" w:lineRule="auto"/>
              <w:ind w:left="742"/>
            </w:pPr>
            <w:r>
              <w:rPr>
                <w:spacing w:val="-3"/>
              </w:rPr>
              <w:t>吴俊玲</w:t>
            </w:r>
          </w:p>
        </w:tc>
        <w:tc>
          <w:tcPr>
            <w:tcW w:w="2137" w:type="dxa"/>
            <w:vAlign w:val="top"/>
          </w:tcPr>
          <w:p w14:paraId="0E473DF9">
            <w:pPr>
              <w:pStyle w:val="6"/>
              <w:spacing w:before="167" w:line="219" w:lineRule="auto"/>
              <w:ind w:left="534"/>
            </w:pPr>
            <w:r>
              <w:rPr>
                <w:spacing w:val="1"/>
              </w:rPr>
              <w:t>办公室主任</w:t>
            </w:r>
          </w:p>
        </w:tc>
        <w:tc>
          <w:tcPr>
            <w:tcW w:w="2142" w:type="dxa"/>
            <w:vAlign w:val="top"/>
          </w:tcPr>
          <w:p w14:paraId="5BF2CD96">
            <w:pPr>
              <w:pStyle w:val="6"/>
              <w:spacing w:before="188"/>
              <w:ind w:left="487"/>
            </w:pPr>
            <w:r>
              <w:rPr>
                <w:spacing w:val="-2"/>
              </w:rPr>
              <w:t>18647213933</w:t>
            </w:r>
          </w:p>
        </w:tc>
      </w:tr>
    </w:tbl>
    <w:p w14:paraId="11ACEBDA">
      <w:pPr>
        <w:rPr>
          <w:rFonts w:ascii="Arial"/>
          <w:sz w:val="21"/>
        </w:rPr>
      </w:pPr>
    </w:p>
    <w:p w14:paraId="730EA5D1">
      <w:pPr>
        <w:rPr>
          <w:rFonts w:ascii="Arial" w:hAnsi="Arial" w:eastAsia="Arial" w:cs="Arial"/>
          <w:sz w:val="21"/>
          <w:szCs w:val="21"/>
        </w:rPr>
        <w:sectPr>
          <w:footerReference r:id="rId42" w:type="default"/>
          <w:pgSz w:w="11910" w:h="16850"/>
          <w:pgMar w:top="1414" w:right="1725" w:bottom="1457" w:left="1635" w:header="0" w:footer="1253" w:gutter="0"/>
          <w:cols w:space="720" w:num="1"/>
        </w:sectPr>
      </w:pPr>
    </w:p>
    <w:p w14:paraId="0C61D9B2">
      <w:pPr>
        <w:spacing w:before="182" w:line="314" w:lineRule="auto"/>
        <w:ind w:left="268" w:right="435" w:firstLine="30"/>
        <w:rPr>
          <w:rFonts w:ascii="宋体" w:hAnsi="宋体" w:eastAsia="宋体" w:cs="宋体"/>
          <w:sz w:val="25"/>
          <w:szCs w:val="25"/>
        </w:rPr>
      </w:pPr>
      <w:r>
        <w:rPr>
          <w:rFonts w:ascii="宋体" w:hAnsi="宋体" w:eastAsia="宋体" w:cs="宋体"/>
          <w:b/>
          <w:bCs/>
          <w:spacing w:val="-11"/>
          <w:sz w:val="25"/>
          <w:szCs w:val="25"/>
        </w:rPr>
        <w:t>附件三：</w:t>
      </w:r>
      <w:r>
        <w:rPr>
          <w:rFonts w:ascii="宋体" w:hAnsi="宋体" w:eastAsia="宋体" w:cs="宋体"/>
          <w:b/>
          <w:bCs/>
          <w:color w:val="505050"/>
          <w:spacing w:val="-11"/>
          <w:sz w:val="25"/>
          <w:szCs w:val="25"/>
        </w:rPr>
        <w:t>包头市石拐区集中式饮用水水源地突发性环境事件专家咨询组成员及</w:t>
      </w:r>
      <w:r>
        <w:rPr>
          <w:rFonts w:ascii="宋体" w:hAnsi="宋体" w:eastAsia="宋体" w:cs="宋体"/>
          <w:color w:val="505050"/>
          <w:sz w:val="25"/>
          <w:szCs w:val="25"/>
        </w:rPr>
        <w:t xml:space="preserve"> </w:t>
      </w:r>
      <w:r>
        <w:rPr>
          <w:rFonts w:ascii="宋体" w:hAnsi="宋体" w:eastAsia="宋体" w:cs="宋体"/>
          <w:b/>
          <w:bCs/>
          <w:color w:val="505050"/>
          <w:spacing w:val="-14"/>
          <w:sz w:val="25"/>
          <w:szCs w:val="25"/>
        </w:rPr>
        <w:t>联系方式；</w:t>
      </w:r>
    </w:p>
    <w:tbl>
      <w:tblPr>
        <w:tblStyle w:val="5"/>
        <w:tblW w:w="89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4"/>
        <w:gridCol w:w="909"/>
        <w:gridCol w:w="1269"/>
        <w:gridCol w:w="1568"/>
        <w:gridCol w:w="2407"/>
        <w:gridCol w:w="2143"/>
      </w:tblGrid>
      <w:tr w14:paraId="732F2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44" w:type="dxa"/>
            <w:vAlign w:val="top"/>
          </w:tcPr>
          <w:p w14:paraId="58D8995D">
            <w:pPr>
              <w:pStyle w:val="6"/>
              <w:spacing w:before="51" w:line="214" w:lineRule="auto"/>
              <w:ind w:left="108"/>
            </w:pPr>
            <w:r>
              <w:rPr>
                <w:b/>
                <w:bCs/>
                <w:spacing w:val="-5"/>
              </w:rPr>
              <w:t>序号</w:t>
            </w:r>
          </w:p>
        </w:tc>
        <w:tc>
          <w:tcPr>
            <w:tcW w:w="909" w:type="dxa"/>
            <w:vAlign w:val="top"/>
          </w:tcPr>
          <w:p w14:paraId="2DCF5776">
            <w:pPr>
              <w:pStyle w:val="6"/>
              <w:spacing w:before="50" w:line="215" w:lineRule="auto"/>
              <w:ind w:left="234"/>
            </w:pPr>
            <w:r>
              <w:rPr>
                <w:b/>
                <w:bCs/>
                <w:color w:val="303040"/>
                <w:spacing w:val="-7"/>
              </w:rPr>
              <w:t>姓</w:t>
            </w:r>
            <w:r>
              <w:rPr>
                <w:b/>
                <w:bCs/>
                <w:spacing w:val="-7"/>
              </w:rPr>
              <w:t>名</w:t>
            </w:r>
          </w:p>
        </w:tc>
        <w:tc>
          <w:tcPr>
            <w:tcW w:w="1269" w:type="dxa"/>
            <w:vAlign w:val="top"/>
          </w:tcPr>
          <w:p w14:paraId="6399B47B">
            <w:pPr>
              <w:pStyle w:val="6"/>
              <w:spacing w:before="52" w:line="213" w:lineRule="auto"/>
              <w:ind w:left="415"/>
            </w:pPr>
            <w:r>
              <w:rPr>
                <w:b/>
                <w:bCs/>
                <w:spacing w:val="-6"/>
              </w:rPr>
              <w:t>职</w:t>
            </w:r>
            <w:r>
              <w:rPr>
                <w:b/>
                <w:bCs/>
                <w:color w:val="606060"/>
                <w:spacing w:val="-6"/>
              </w:rPr>
              <w:t>称</w:t>
            </w:r>
          </w:p>
        </w:tc>
        <w:tc>
          <w:tcPr>
            <w:tcW w:w="1568" w:type="dxa"/>
            <w:vAlign w:val="top"/>
          </w:tcPr>
          <w:p w14:paraId="341B1588">
            <w:pPr>
              <w:pStyle w:val="6"/>
              <w:spacing w:before="51" w:line="214" w:lineRule="auto"/>
              <w:ind w:left="355"/>
            </w:pPr>
            <w:r>
              <w:rPr>
                <w:b/>
                <w:bCs/>
                <w:color w:val="505050"/>
                <w:spacing w:val="-5"/>
              </w:rPr>
              <w:t>从事专业</w:t>
            </w:r>
          </w:p>
        </w:tc>
        <w:tc>
          <w:tcPr>
            <w:tcW w:w="2407" w:type="dxa"/>
            <w:vAlign w:val="top"/>
          </w:tcPr>
          <w:p w14:paraId="7D2CC499">
            <w:pPr>
              <w:pStyle w:val="6"/>
              <w:spacing w:before="51" w:line="214" w:lineRule="auto"/>
              <w:ind w:left="778"/>
            </w:pPr>
            <w:r>
              <w:rPr>
                <w:b/>
                <w:bCs/>
                <w:color w:val="606060"/>
                <w:spacing w:val="-5"/>
              </w:rPr>
              <w:t>工作单位</w:t>
            </w:r>
          </w:p>
        </w:tc>
        <w:tc>
          <w:tcPr>
            <w:tcW w:w="2143" w:type="dxa"/>
            <w:vAlign w:val="top"/>
          </w:tcPr>
          <w:p w14:paraId="029B6774">
            <w:pPr>
              <w:pStyle w:val="6"/>
              <w:spacing w:before="52" w:line="213" w:lineRule="auto"/>
              <w:ind w:left="650"/>
            </w:pPr>
            <w:r>
              <w:rPr>
                <w:b/>
                <w:bCs/>
                <w:color w:val="606060"/>
                <w:spacing w:val="-1"/>
              </w:rPr>
              <w:t>联系</w:t>
            </w:r>
            <w:r>
              <w:rPr>
                <w:b/>
                <w:bCs/>
                <w:color w:val="505050"/>
                <w:spacing w:val="-1"/>
              </w:rPr>
              <w:t>电话</w:t>
            </w:r>
          </w:p>
        </w:tc>
      </w:tr>
      <w:tr w14:paraId="2D324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44" w:type="dxa"/>
            <w:vAlign w:val="top"/>
          </w:tcPr>
          <w:p w14:paraId="73706979">
            <w:pPr>
              <w:pStyle w:val="6"/>
              <w:spacing w:before="66" w:line="205" w:lineRule="auto"/>
              <w:ind w:left="204"/>
            </w:pPr>
            <w:r>
              <w:t>工</w:t>
            </w:r>
          </w:p>
        </w:tc>
        <w:tc>
          <w:tcPr>
            <w:tcW w:w="909" w:type="dxa"/>
            <w:vAlign w:val="top"/>
          </w:tcPr>
          <w:p w14:paraId="6202B71A">
            <w:pPr>
              <w:pStyle w:val="6"/>
              <w:spacing w:before="48" w:line="219" w:lineRule="auto"/>
              <w:ind w:left="130"/>
            </w:pPr>
            <w:r>
              <w:rPr>
                <w:spacing w:val="-3"/>
              </w:rPr>
              <w:t>朱新华</w:t>
            </w:r>
          </w:p>
        </w:tc>
        <w:tc>
          <w:tcPr>
            <w:tcW w:w="1269" w:type="dxa"/>
            <w:vAlign w:val="top"/>
          </w:tcPr>
          <w:p w14:paraId="53374D7D">
            <w:pPr>
              <w:pStyle w:val="6"/>
              <w:spacing w:before="48" w:line="219" w:lineRule="auto"/>
              <w:ind w:left="102"/>
            </w:pPr>
            <w:r>
              <w:rPr>
                <w:spacing w:val="2"/>
              </w:rPr>
              <w:t>教授级高工</w:t>
            </w:r>
          </w:p>
        </w:tc>
        <w:tc>
          <w:tcPr>
            <w:tcW w:w="1568" w:type="dxa"/>
            <w:vAlign w:val="top"/>
          </w:tcPr>
          <w:p w14:paraId="1C08EEA7">
            <w:pPr>
              <w:pStyle w:val="6"/>
              <w:spacing w:before="49" w:line="220" w:lineRule="auto"/>
              <w:ind w:left="352"/>
            </w:pPr>
            <w:r>
              <w:rPr>
                <w:spacing w:val="3"/>
              </w:rPr>
              <w:t>环境保护</w:t>
            </w:r>
          </w:p>
        </w:tc>
        <w:tc>
          <w:tcPr>
            <w:tcW w:w="2407" w:type="dxa"/>
            <w:vAlign w:val="top"/>
          </w:tcPr>
          <w:p w14:paraId="3F24AE4D">
            <w:pPr>
              <w:pStyle w:val="6"/>
              <w:spacing w:before="48" w:line="219" w:lineRule="auto"/>
              <w:ind w:left="144"/>
            </w:pPr>
            <w:r>
              <w:rPr>
                <w:color w:val="404050"/>
                <w:spacing w:val="-1"/>
              </w:rPr>
              <w:t>包头市辐射环境管理处</w:t>
            </w:r>
          </w:p>
        </w:tc>
        <w:tc>
          <w:tcPr>
            <w:tcW w:w="2143" w:type="dxa"/>
            <w:vAlign w:val="top"/>
          </w:tcPr>
          <w:p w14:paraId="38C76F39">
            <w:pPr>
              <w:pStyle w:val="6"/>
              <w:spacing w:before="69" w:line="203" w:lineRule="auto"/>
              <w:ind w:left="487"/>
            </w:pPr>
            <w:r>
              <w:rPr>
                <w:spacing w:val="-2"/>
              </w:rPr>
              <w:t>13009560809</w:t>
            </w:r>
          </w:p>
        </w:tc>
      </w:tr>
      <w:tr w14:paraId="33A21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44" w:type="dxa"/>
            <w:vAlign w:val="top"/>
          </w:tcPr>
          <w:p w14:paraId="410E25DD">
            <w:pPr>
              <w:pStyle w:val="6"/>
              <w:spacing w:before="69" w:line="203" w:lineRule="auto"/>
              <w:ind w:left="254"/>
            </w:pPr>
            <w:r>
              <w:t>2</w:t>
            </w:r>
          </w:p>
        </w:tc>
        <w:tc>
          <w:tcPr>
            <w:tcW w:w="909" w:type="dxa"/>
            <w:vAlign w:val="top"/>
          </w:tcPr>
          <w:p w14:paraId="70A6545F">
            <w:pPr>
              <w:pStyle w:val="6"/>
              <w:spacing w:before="49" w:line="220" w:lineRule="auto"/>
              <w:ind w:left="130"/>
            </w:pPr>
            <w:r>
              <w:rPr>
                <w:spacing w:val="3"/>
              </w:rPr>
              <w:t>闫晓杰</w:t>
            </w:r>
          </w:p>
        </w:tc>
        <w:tc>
          <w:tcPr>
            <w:tcW w:w="1269" w:type="dxa"/>
            <w:vAlign w:val="top"/>
          </w:tcPr>
          <w:p w14:paraId="5294241A">
            <w:pPr>
              <w:pStyle w:val="6"/>
              <w:spacing w:before="48" w:line="219" w:lineRule="auto"/>
              <w:ind w:left="412"/>
            </w:pPr>
            <w:r>
              <w:rPr>
                <w:spacing w:val="5"/>
              </w:rPr>
              <w:t>高工</w:t>
            </w:r>
          </w:p>
        </w:tc>
        <w:tc>
          <w:tcPr>
            <w:tcW w:w="1568" w:type="dxa"/>
            <w:vAlign w:val="top"/>
          </w:tcPr>
          <w:p w14:paraId="7034BA87">
            <w:pPr>
              <w:pStyle w:val="6"/>
              <w:spacing w:before="49" w:line="220" w:lineRule="auto"/>
              <w:ind w:left="352"/>
            </w:pPr>
            <w:r>
              <w:rPr>
                <w:spacing w:val="3"/>
              </w:rPr>
              <w:t>环境保护</w:t>
            </w:r>
          </w:p>
        </w:tc>
        <w:tc>
          <w:tcPr>
            <w:tcW w:w="2407" w:type="dxa"/>
            <w:vAlign w:val="top"/>
          </w:tcPr>
          <w:p w14:paraId="3EDB3126">
            <w:pPr>
              <w:pStyle w:val="6"/>
              <w:spacing w:before="47" w:line="219" w:lineRule="auto"/>
              <w:ind w:left="144"/>
            </w:pPr>
            <w:r>
              <w:rPr>
                <w:color w:val="506050"/>
                <w:spacing w:val="-1"/>
              </w:rPr>
              <w:t>包头市生态环境审批科</w:t>
            </w:r>
          </w:p>
        </w:tc>
        <w:tc>
          <w:tcPr>
            <w:tcW w:w="2143" w:type="dxa"/>
            <w:vAlign w:val="top"/>
          </w:tcPr>
          <w:p w14:paraId="7904706B">
            <w:pPr>
              <w:pStyle w:val="6"/>
              <w:spacing w:before="69" w:line="203" w:lineRule="auto"/>
              <w:ind w:left="487"/>
            </w:pPr>
            <w:r>
              <w:rPr>
                <w:spacing w:val="-2"/>
              </w:rPr>
              <w:t>13947259581</w:t>
            </w:r>
          </w:p>
        </w:tc>
      </w:tr>
      <w:tr w14:paraId="27C7D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27B948B5">
            <w:pPr>
              <w:pStyle w:val="6"/>
              <w:spacing w:before="228"/>
              <w:ind w:left="254"/>
            </w:pPr>
            <w:r>
              <w:t>3</w:t>
            </w:r>
          </w:p>
        </w:tc>
        <w:tc>
          <w:tcPr>
            <w:tcW w:w="909" w:type="dxa"/>
            <w:vAlign w:val="top"/>
          </w:tcPr>
          <w:p w14:paraId="64FCECD7">
            <w:pPr>
              <w:pStyle w:val="6"/>
              <w:spacing w:before="208" w:line="219" w:lineRule="auto"/>
              <w:ind w:left="231"/>
            </w:pPr>
            <w:r>
              <w:rPr>
                <w:spacing w:val="-3"/>
              </w:rPr>
              <w:t>杨超</w:t>
            </w:r>
          </w:p>
        </w:tc>
        <w:tc>
          <w:tcPr>
            <w:tcW w:w="1269" w:type="dxa"/>
            <w:vAlign w:val="top"/>
          </w:tcPr>
          <w:p w14:paraId="68C5C57C">
            <w:pPr>
              <w:pStyle w:val="6"/>
              <w:spacing w:before="208" w:line="219" w:lineRule="auto"/>
              <w:ind w:left="412"/>
            </w:pPr>
            <w:r>
              <w:rPr>
                <w:spacing w:val="5"/>
              </w:rPr>
              <w:t>高工</w:t>
            </w:r>
          </w:p>
        </w:tc>
        <w:tc>
          <w:tcPr>
            <w:tcW w:w="1568" w:type="dxa"/>
            <w:vAlign w:val="top"/>
          </w:tcPr>
          <w:p w14:paraId="14EA49D4">
            <w:pPr>
              <w:pStyle w:val="6"/>
              <w:spacing w:before="208" w:line="219" w:lineRule="auto"/>
              <w:ind w:left="352"/>
            </w:pPr>
            <w:r>
              <w:rPr>
                <w:spacing w:val="2"/>
              </w:rPr>
              <w:t>动态力学</w:t>
            </w:r>
          </w:p>
        </w:tc>
        <w:tc>
          <w:tcPr>
            <w:tcW w:w="2407" w:type="dxa"/>
            <w:vAlign w:val="top"/>
          </w:tcPr>
          <w:p w14:paraId="62F7975C">
            <w:pPr>
              <w:pStyle w:val="6"/>
              <w:spacing w:before="207" w:line="219" w:lineRule="auto"/>
              <w:ind w:left="674"/>
            </w:pPr>
            <w:r>
              <w:rPr>
                <w:spacing w:val="-2"/>
              </w:rPr>
              <w:t>五二研究所</w:t>
            </w:r>
          </w:p>
        </w:tc>
        <w:tc>
          <w:tcPr>
            <w:tcW w:w="2143" w:type="dxa"/>
            <w:vAlign w:val="top"/>
          </w:tcPr>
          <w:p w14:paraId="68C862BF">
            <w:pPr>
              <w:pStyle w:val="6"/>
              <w:spacing w:before="68" w:line="219" w:lineRule="auto"/>
              <w:ind w:left="227"/>
            </w:pPr>
            <w:r>
              <w:rPr>
                <w:spacing w:val="3"/>
              </w:rPr>
              <w:t>3131177-6250(办)</w:t>
            </w:r>
          </w:p>
          <w:p w14:paraId="39A8D634">
            <w:pPr>
              <w:pStyle w:val="6"/>
              <w:spacing w:before="54" w:line="217" w:lineRule="auto"/>
              <w:ind w:left="588"/>
            </w:pPr>
            <w:r>
              <w:rPr>
                <w:spacing w:val="6"/>
              </w:rPr>
              <w:t>-8942(宅)</w:t>
            </w:r>
          </w:p>
        </w:tc>
      </w:tr>
      <w:tr w14:paraId="5CCF9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44" w:type="dxa"/>
            <w:vAlign w:val="top"/>
          </w:tcPr>
          <w:p w14:paraId="27A4B9E9">
            <w:pPr>
              <w:pStyle w:val="6"/>
              <w:spacing w:before="230" w:line="241" w:lineRule="auto"/>
              <w:ind w:left="254"/>
            </w:pPr>
            <w:r>
              <w:t>4</w:t>
            </w:r>
          </w:p>
        </w:tc>
        <w:tc>
          <w:tcPr>
            <w:tcW w:w="909" w:type="dxa"/>
            <w:vAlign w:val="top"/>
          </w:tcPr>
          <w:p w14:paraId="4AD22FE8">
            <w:pPr>
              <w:pStyle w:val="6"/>
              <w:spacing w:before="209" w:line="219" w:lineRule="auto"/>
              <w:ind w:left="130"/>
            </w:pPr>
            <w:r>
              <w:rPr>
                <w:spacing w:val="4"/>
              </w:rPr>
              <w:t>全翔翼</w:t>
            </w:r>
          </w:p>
        </w:tc>
        <w:tc>
          <w:tcPr>
            <w:tcW w:w="1269" w:type="dxa"/>
            <w:vAlign w:val="top"/>
          </w:tcPr>
          <w:p w14:paraId="5907926B">
            <w:pPr>
              <w:pStyle w:val="6"/>
              <w:spacing w:before="209" w:line="219" w:lineRule="auto"/>
              <w:ind w:left="102"/>
            </w:pPr>
            <w:r>
              <w:rPr>
                <w:spacing w:val="2"/>
              </w:rPr>
              <w:t>副主任医师</w:t>
            </w:r>
          </w:p>
        </w:tc>
        <w:tc>
          <w:tcPr>
            <w:tcW w:w="1568" w:type="dxa"/>
            <w:vAlign w:val="top"/>
          </w:tcPr>
          <w:p w14:paraId="359717FD">
            <w:pPr>
              <w:pStyle w:val="6"/>
              <w:spacing w:before="210" w:line="220" w:lineRule="auto"/>
              <w:ind w:left="352"/>
            </w:pPr>
            <w:r>
              <w:rPr>
                <w:spacing w:val="2"/>
              </w:rPr>
              <w:t>预防医学</w:t>
            </w:r>
          </w:p>
        </w:tc>
        <w:tc>
          <w:tcPr>
            <w:tcW w:w="2407" w:type="dxa"/>
            <w:vAlign w:val="top"/>
          </w:tcPr>
          <w:p w14:paraId="0DCBA2A0">
            <w:pPr>
              <w:pStyle w:val="6"/>
              <w:spacing w:before="209" w:line="219" w:lineRule="auto"/>
              <w:ind w:left="354"/>
            </w:pPr>
            <w:r>
              <w:rPr>
                <w:color w:val="404040"/>
                <w:spacing w:val="-1"/>
              </w:rPr>
              <w:t>包头市卫生防疫站</w:t>
            </w:r>
          </w:p>
        </w:tc>
        <w:tc>
          <w:tcPr>
            <w:tcW w:w="2143" w:type="dxa"/>
            <w:vAlign w:val="top"/>
          </w:tcPr>
          <w:p w14:paraId="05525377">
            <w:pPr>
              <w:pStyle w:val="6"/>
              <w:spacing w:before="49" w:line="219" w:lineRule="auto"/>
              <w:ind w:left="487"/>
            </w:pPr>
            <w:r>
              <w:rPr>
                <w:color w:val="204030"/>
                <w:spacing w:val="4"/>
              </w:rPr>
              <w:t>5171568(办)</w:t>
            </w:r>
          </w:p>
          <w:p w14:paraId="41E9CA7B">
            <w:pPr>
              <w:pStyle w:val="6"/>
              <w:spacing w:before="54" w:line="222" w:lineRule="auto"/>
              <w:ind w:left="487"/>
            </w:pPr>
            <w:r>
              <w:rPr>
                <w:spacing w:val="4"/>
              </w:rPr>
              <w:t>2518881(宅)</w:t>
            </w:r>
          </w:p>
        </w:tc>
      </w:tr>
      <w:tr w14:paraId="68E76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44" w:type="dxa"/>
            <w:vAlign w:val="top"/>
          </w:tcPr>
          <w:p w14:paraId="744BA126">
            <w:pPr>
              <w:pStyle w:val="6"/>
              <w:spacing w:before="229"/>
              <w:ind w:left="254"/>
            </w:pPr>
            <w:r>
              <w:t>5</w:t>
            </w:r>
          </w:p>
        </w:tc>
        <w:tc>
          <w:tcPr>
            <w:tcW w:w="909" w:type="dxa"/>
            <w:vAlign w:val="top"/>
          </w:tcPr>
          <w:p w14:paraId="1AEC26A5">
            <w:pPr>
              <w:pStyle w:val="6"/>
              <w:spacing w:before="210" w:line="220" w:lineRule="auto"/>
              <w:ind w:left="130"/>
            </w:pPr>
            <w:r>
              <w:rPr>
                <w:spacing w:val="3"/>
              </w:rPr>
              <w:t>戴纪强</w:t>
            </w:r>
          </w:p>
        </w:tc>
        <w:tc>
          <w:tcPr>
            <w:tcW w:w="1269" w:type="dxa"/>
            <w:vAlign w:val="top"/>
          </w:tcPr>
          <w:p w14:paraId="736E514A">
            <w:pPr>
              <w:pStyle w:val="6"/>
              <w:spacing w:before="209" w:line="219" w:lineRule="auto"/>
              <w:ind w:left="102"/>
            </w:pPr>
            <w:r>
              <w:rPr>
                <w:spacing w:val="2"/>
              </w:rPr>
              <w:t>副主任医师</w:t>
            </w:r>
          </w:p>
        </w:tc>
        <w:tc>
          <w:tcPr>
            <w:tcW w:w="1568" w:type="dxa"/>
            <w:vAlign w:val="top"/>
          </w:tcPr>
          <w:p w14:paraId="38A56B28">
            <w:pPr>
              <w:pStyle w:val="6"/>
              <w:spacing w:before="210" w:line="220" w:lineRule="auto"/>
              <w:ind w:left="352"/>
            </w:pPr>
            <w:r>
              <w:rPr>
                <w:spacing w:val="-2"/>
              </w:rPr>
              <w:t>环境卫生</w:t>
            </w:r>
          </w:p>
        </w:tc>
        <w:tc>
          <w:tcPr>
            <w:tcW w:w="2407" w:type="dxa"/>
            <w:vAlign w:val="top"/>
          </w:tcPr>
          <w:p w14:paraId="7B194A93">
            <w:pPr>
              <w:pStyle w:val="6"/>
              <w:spacing w:before="209" w:line="219" w:lineRule="auto"/>
              <w:ind w:left="354"/>
            </w:pPr>
            <w:r>
              <w:rPr>
                <w:spacing w:val="-1"/>
              </w:rPr>
              <w:t>包头市卫生防疫站</w:t>
            </w:r>
          </w:p>
        </w:tc>
        <w:tc>
          <w:tcPr>
            <w:tcW w:w="2143" w:type="dxa"/>
            <w:vAlign w:val="top"/>
          </w:tcPr>
          <w:p w14:paraId="67A8E449">
            <w:pPr>
              <w:pStyle w:val="6"/>
              <w:spacing w:before="59" w:line="219" w:lineRule="auto"/>
              <w:ind w:left="487"/>
            </w:pPr>
            <w:r>
              <w:rPr>
                <w:spacing w:val="4"/>
              </w:rPr>
              <w:t>5171565(办)</w:t>
            </w:r>
          </w:p>
          <w:p w14:paraId="5DA464D9">
            <w:pPr>
              <w:pStyle w:val="6"/>
              <w:spacing w:before="73" w:line="199" w:lineRule="auto"/>
              <w:ind w:left="487"/>
            </w:pPr>
            <w:r>
              <w:rPr>
                <w:spacing w:val="4"/>
              </w:rPr>
              <w:t>5137832(宅)</w:t>
            </w:r>
          </w:p>
        </w:tc>
      </w:tr>
      <w:tr w14:paraId="6415B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091C2E1D">
            <w:pPr>
              <w:pStyle w:val="6"/>
              <w:spacing w:before="230"/>
              <w:ind w:left="254"/>
            </w:pPr>
            <w:r>
              <w:t>6</w:t>
            </w:r>
          </w:p>
        </w:tc>
        <w:tc>
          <w:tcPr>
            <w:tcW w:w="909" w:type="dxa"/>
            <w:vAlign w:val="top"/>
          </w:tcPr>
          <w:p w14:paraId="21B3F30D">
            <w:pPr>
              <w:pStyle w:val="6"/>
              <w:spacing w:before="210" w:line="219" w:lineRule="auto"/>
              <w:ind w:left="130"/>
            </w:pPr>
            <w:r>
              <w:rPr>
                <w:spacing w:val="5"/>
              </w:rPr>
              <w:t>张翼翔</w:t>
            </w:r>
          </w:p>
        </w:tc>
        <w:tc>
          <w:tcPr>
            <w:tcW w:w="1269" w:type="dxa"/>
            <w:vAlign w:val="top"/>
          </w:tcPr>
          <w:p w14:paraId="571A6E58">
            <w:pPr>
              <w:pStyle w:val="6"/>
              <w:spacing w:before="210" w:line="219" w:lineRule="auto"/>
              <w:ind w:left="412"/>
            </w:pPr>
            <w:r>
              <w:rPr>
                <w:spacing w:val="4"/>
              </w:rPr>
              <w:t>教授</w:t>
            </w:r>
          </w:p>
        </w:tc>
        <w:tc>
          <w:tcPr>
            <w:tcW w:w="1568" w:type="dxa"/>
            <w:vAlign w:val="top"/>
          </w:tcPr>
          <w:p w14:paraId="29C2A1A8">
            <w:pPr>
              <w:pStyle w:val="6"/>
              <w:spacing w:before="211" w:line="220" w:lineRule="auto"/>
              <w:ind w:left="352"/>
            </w:pPr>
            <w:r>
              <w:rPr>
                <w:spacing w:val="-2"/>
              </w:rPr>
              <w:t>环境卫生</w:t>
            </w:r>
          </w:p>
        </w:tc>
        <w:tc>
          <w:tcPr>
            <w:tcW w:w="2407" w:type="dxa"/>
            <w:vAlign w:val="top"/>
          </w:tcPr>
          <w:p w14:paraId="718FE1BE">
            <w:pPr>
              <w:pStyle w:val="6"/>
              <w:spacing w:before="210" w:line="219" w:lineRule="auto"/>
              <w:ind w:left="565"/>
            </w:pPr>
            <w:r>
              <w:rPr>
                <w:spacing w:val="2"/>
              </w:rPr>
              <w:t>包头市医学院</w:t>
            </w:r>
          </w:p>
        </w:tc>
        <w:tc>
          <w:tcPr>
            <w:tcW w:w="2143" w:type="dxa"/>
            <w:vAlign w:val="top"/>
          </w:tcPr>
          <w:p w14:paraId="7E1FE1BF">
            <w:pPr>
              <w:pStyle w:val="6"/>
              <w:spacing w:before="70" w:line="219" w:lineRule="auto"/>
              <w:ind w:left="487"/>
            </w:pPr>
            <w:r>
              <w:rPr>
                <w:spacing w:val="4"/>
              </w:rPr>
              <w:t>5991314(办)</w:t>
            </w:r>
          </w:p>
          <w:p w14:paraId="7ECF1087">
            <w:pPr>
              <w:pStyle w:val="6"/>
              <w:spacing w:before="63" w:line="207" w:lineRule="auto"/>
              <w:ind w:left="487"/>
            </w:pPr>
            <w:r>
              <w:rPr>
                <w:spacing w:val="4"/>
              </w:rPr>
              <w:t>5133203(宅)</w:t>
            </w:r>
          </w:p>
        </w:tc>
      </w:tr>
      <w:tr w14:paraId="1B70A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44" w:type="dxa"/>
            <w:vAlign w:val="top"/>
          </w:tcPr>
          <w:p w14:paraId="14C5AA8F">
            <w:pPr>
              <w:pStyle w:val="6"/>
              <w:spacing w:before="232"/>
              <w:ind w:left="254"/>
            </w:pPr>
            <w:r>
              <w:t>7</w:t>
            </w:r>
          </w:p>
        </w:tc>
        <w:tc>
          <w:tcPr>
            <w:tcW w:w="909" w:type="dxa"/>
            <w:vAlign w:val="top"/>
          </w:tcPr>
          <w:p w14:paraId="4F81D584">
            <w:pPr>
              <w:pStyle w:val="6"/>
              <w:spacing w:before="212" w:line="221" w:lineRule="auto"/>
              <w:ind w:left="130"/>
            </w:pPr>
            <w:r>
              <w:rPr>
                <w:color w:val="405050"/>
                <w:spacing w:val="-3"/>
              </w:rPr>
              <w:t>王胜平</w:t>
            </w:r>
          </w:p>
        </w:tc>
        <w:tc>
          <w:tcPr>
            <w:tcW w:w="1269" w:type="dxa"/>
            <w:vAlign w:val="top"/>
          </w:tcPr>
          <w:p w14:paraId="42FDFD5D">
            <w:pPr>
              <w:pStyle w:val="6"/>
              <w:spacing w:before="211" w:line="219" w:lineRule="auto"/>
              <w:ind w:left="412"/>
            </w:pPr>
            <w:r>
              <w:rPr>
                <w:spacing w:val="5"/>
              </w:rPr>
              <w:t>高工</w:t>
            </w:r>
          </w:p>
        </w:tc>
        <w:tc>
          <w:tcPr>
            <w:tcW w:w="1568" w:type="dxa"/>
            <w:vAlign w:val="top"/>
          </w:tcPr>
          <w:p w14:paraId="24A033CA">
            <w:pPr>
              <w:pStyle w:val="6"/>
              <w:spacing w:before="212" w:line="221" w:lineRule="auto"/>
              <w:ind w:left="562"/>
            </w:pPr>
            <w:r>
              <w:rPr>
                <w:spacing w:val="-3"/>
              </w:rPr>
              <w:t>焦化</w:t>
            </w:r>
          </w:p>
        </w:tc>
        <w:tc>
          <w:tcPr>
            <w:tcW w:w="2407" w:type="dxa"/>
            <w:vAlign w:val="top"/>
          </w:tcPr>
          <w:p w14:paraId="763C37D4">
            <w:pPr>
              <w:pStyle w:val="6"/>
              <w:spacing w:before="212" w:line="220" w:lineRule="auto"/>
              <w:ind w:left="674"/>
            </w:pPr>
            <w:r>
              <w:rPr>
                <w:spacing w:val="2"/>
              </w:rPr>
              <w:t>包钢焦化厂</w:t>
            </w:r>
          </w:p>
        </w:tc>
        <w:tc>
          <w:tcPr>
            <w:tcW w:w="2143" w:type="dxa"/>
            <w:vAlign w:val="top"/>
          </w:tcPr>
          <w:p w14:paraId="4BEC90F7">
            <w:pPr>
              <w:pStyle w:val="6"/>
              <w:spacing w:before="61" w:line="219" w:lineRule="auto"/>
              <w:ind w:left="487"/>
            </w:pPr>
            <w:r>
              <w:rPr>
                <w:spacing w:val="4"/>
              </w:rPr>
              <w:t>2185096(办)</w:t>
            </w:r>
          </w:p>
          <w:p w14:paraId="4A916506">
            <w:pPr>
              <w:pStyle w:val="6"/>
              <w:spacing w:before="63" w:line="207" w:lineRule="auto"/>
              <w:ind w:left="487"/>
            </w:pPr>
            <w:r>
              <w:rPr>
                <w:spacing w:val="4"/>
              </w:rPr>
              <w:t>2328372(宅)</w:t>
            </w:r>
          </w:p>
        </w:tc>
      </w:tr>
      <w:tr w14:paraId="7BF0B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1A662394">
            <w:pPr>
              <w:pStyle w:val="6"/>
              <w:spacing w:before="231"/>
              <w:ind w:left="254"/>
            </w:pPr>
            <w:r>
              <w:t>8</w:t>
            </w:r>
          </w:p>
        </w:tc>
        <w:tc>
          <w:tcPr>
            <w:tcW w:w="909" w:type="dxa"/>
            <w:vAlign w:val="top"/>
          </w:tcPr>
          <w:p w14:paraId="374D129C">
            <w:pPr>
              <w:pStyle w:val="6"/>
              <w:spacing w:before="211" w:line="219" w:lineRule="auto"/>
              <w:ind w:left="231"/>
            </w:pPr>
            <w:r>
              <w:rPr>
                <w:spacing w:val="-3"/>
              </w:rPr>
              <w:t>许涛</w:t>
            </w:r>
          </w:p>
        </w:tc>
        <w:tc>
          <w:tcPr>
            <w:tcW w:w="1269" w:type="dxa"/>
            <w:vAlign w:val="top"/>
          </w:tcPr>
          <w:p w14:paraId="4E1C5A76">
            <w:pPr>
              <w:pStyle w:val="6"/>
              <w:spacing w:before="211" w:line="219" w:lineRule="auto"/>
              <w:ind w:left="412"/>
            </w:pPr>
            <w:r>
              <w:rPr>
                <w:spacing w:val="5"/>
              </w:rPr>
              <w:t>高工</w:t>
            </w:r>
          </w:p>
        </w:tc>
        <w:tc>
          <w:tcPr>
            <w:tcW w:w="1568" w:type="dxa"/>
            <w:vAlign w:val="top"/>
          </w:tcPr>
          <w:p w14:paraId="446BE1E4">
            <w:pPr>
              <w:pStyle w:val="6"/>
              <w:spacing w:before="212" w:line="220" w:lineRule="auto"/>
              <w:ind w:left="352"/>
            </w:pPr>
            <w:r>
              <w:rPr>
                <w:spacing w:val="2"/>
              </w:rPr>
              <w:t>分析化学</w:t>
            </w:r>
          </w:p>
        </w:tc>
        <w:tc>
          <w:tcPr>
            <w:tcW w:w="2407" w:type="dxa"/>
            <w:vAlign w:val="top"/>
          </w:tcPr>
          <w:p w14:paraId="68F10583">
            <w:pPr>
              <w:pStyle w:val="6"/>
              <w:spacing w:before="210" w:line="219" w:lineRule="auto"/>
              <w:ind w:left="464"/>
            </w:pPr>
            <w:r>
              <w:rPr>
                <w:spacing w:val="1"/>
              </w:rPr>
              <w:t>包钢稀土研究院</w:t>
            </w:r>
          </w:p>
        </w:tc>
        <w:tc>
          <w:tcPr>
            <w:tcW w:w="2143" w:type="dxa"/>
            <w:vAlign w:val="top"/>
          </w:tcPr>
          <w:p w14:paraId="722CAB24">
            <w:pPr>
              <w:pStyle w:val="6"/>
              <w:spacing w:before="81" w:line="219" w:lineRule="auto"/>
              <w:ind w:left="227"/>
            </w:pPr>
            <w:r>
              <w:rPr>
                <w:spacing w:val="3"/>
              </w:rPr>
              <w:t>5154411-8272(办)</w:t>
            </w:r>
          </w:p>
          <w:p w14:paraId="4AD588AF">
            <w:pPr>
              <w:pStyle w:val="6"/>
              <w:spacing w:before="53" w:line="206" w:lineRule="auto"/>
              <w:ind w:left="487"/>
            </w:pPr>
            <w:r>
              <w:rPr>
                <w:spacing w:val="4"/>
              </w:rPr>
              <w:t>5151283(宅)</w:t>
            </w:r>
          </w:p>
        </w:tc>
      </w:tr>
      <w:tr w14:paraId="0B20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44" w:type="dxa"/>
            <w:vAlign w:val="top"/>
          </w:tcPr>
          <w:p w14:paraId="7D9B99BD">
            <w:pPr>
              <w:pStyle w:val="6"/>
              <w:spacing w:before="233"/>
              <w:ind w:left="254"/>
            </w:pPr>
            <w:r>
              <w:t>9</w:t>
            </w:r>
          </w:p>
        </w:tc>
        <w:tc>
          <w:tcPr>
            <w:tcW w:w="909" w:type="dxa"/>
            <w:vAlign w:val="top"/>
          </w:tcPr>
          <w:p w14:paraId="6FAFE07D">
            <w:pPr>
              <w:pStyle w:val="6"/>
              <w:spacing w:before="213" w:line="220" w:lineRule="auto"/>
              <w:ind w:left="130"/>
            </w:pPr>
            <w:r>
              <w:rPr>
                <w:spacing w:val="3"/>
              </w:rPr>
              <w:t>吕保义</w:t>
            </w:r>
          </w:p>
        </w:tc>
        <w:tc>
          <w:tcPr>
            <w:tcW w:w="1269" w:type="dxa"/>
            <w:vAlign w:val="top"/>
          </w:tcPr>
          <w:p w14:paraId="1650217D">
            <w:pPr>
              <w:pStyle w:val="6"/>
              <w:spacing w:before="212" w:line="219" w:lineRule="auto"/>
              <w:ind w:left="412"/>
            </w:pPr>
            <w:r>
              <w:rPr>
                <w:spacing w:val="5"/>
              </w:rPr>
              <w:t>高工</w:t>
            </w:r>
          </w:p>
        </w:tc>
        <w:tc>
          <w:tcPr>
            <w:tcW w:w="1568" w:type="dxa"/>
            <w:vAlign w:val="top"/>
          </w:tcPr>
          <w:p w14:paraId="67DD5DF5">
            <w:pPr>
              <w:pStyle w:val="6"/>
              <w:spacing w:before="213" w:line="220" w:lineRule="auto"/>
              <w:ind w:left="352"/>
            </w:pPr>
            <w:r>
              <w:rPr>
                <w:spacing w:val="4"/>
              </w:rPr>
              <w:t>环境监测</w:t>
            </w:r>
          </w:p>
        </w:tc>
        <w:tc>
          <w:tcPr>
            <w:tcW w:w="2407" w:type="dxa"/>
            <w:vAlign w:val="top"/>
          </w:tcPr>
          <w:p w14:paraId="477732B8">
            <w:pPr>
              <w:pStyle w:val="6"/>
              <w:spacing w:before="212" w:line="219" w:lineRule="auto"/>
              <w:ind w:left="354"/>
            </w:pPr>
            <w:r>
              <w:rPr>
                <w:spacing w:val="-1"/>
              </w:rPr>
              <w:t>包头市环境监测站</w:t>
            </w:r>
          </w:p>
        </w:tc>
        <w:tc>
          <w:tcPr>
            <w:tcW w:w="2143" w:type="dxa"/>
            <w:vAlign w:val="top"/>
          </w:tcPr>
          <w:p w14:paraId="34FB300C">
            <w:pPr>
              <w:pStyle w:val="6"/>
              <w:spacing w:before="72" w:line="219" w:lineRule="auto"/>
              <w:ind w:left="487"/>
            </w:pPr>
            <w:r>
              <w:rPr>
                <w:spacing w:val="4"/>
              </w:rPr>
              <w:t>5191672(办)</w:t>
            </w:r>
          </w:p>
          <w:p w14:paraId="5AF169EC">
            <w:pPr>
              <w:pStyle w:val="6"/>
              <w:spacing w:before="71" w:line="190" w:lineRule="auto"/>
              <w:ind w:left="487"/>
            </w:pPr>
            <w:r>
              <w:rPr>
                <w:color w:val="305040"/>
                <w:spacing w:val="-2"/>
              </w:rPr>
              <w:t>13847215753</w:t>
            </w:r>
          </w:p>
        </w:tc>
      </w:tr>
      <w:tr w14:paraId="3B2A1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7719CC06">
            <w:pPr>
              <w:pStyle w:val="6"/>
              <w:spacing w:before="232"/>
              <w:ind w:left="204"/>
            </w:pPr>
            <w:r>
              <w:rPr>
                <w:spacing w:val="-6"/>
              </w:rPr>
              <w:t>10</w:t>
            </w:r>
          </w:p>
        </w:tc>
        <w:tc>
          <w:tcPr>
            <w:tcW w:w="909" w:type="dxa"/>
            <w:vAlign w:val="top"/>
          </w:tcPr>
          <w:p w14:paraId="6AD1C7D1">
            <w:pPr>
              <w:pStyle w:val="6"/>
              <w:spacing w:before="212" w:line="219" w:lineRule="auto"/>
              <w:ind w:left="130"/>
            </w:pPr>
            <w:r>
              <w:rPr>
                <w:spacing w:val="-3"/>
              </w:rPr>
              <w:t>杜宇红</w:t>
            </w:r>
          </w:p>
        </w:tc>
        <w:tc>
          <w:tcPr>
            <w:tcW w:w="1269" w:type="dxa"/>
            <w:vAlign w:val="top"/>
          </w:tcPr>
          <w:p w14:paraId="0D0E4919">
            <w:pPr>
              <w:pStyle w:val="6"/>
              <w:spacing w:before="212" w:line="219" w:lineRule="auto"/>
              <w:ind w:left="412"/>
            </w:pPr>
            <w:r>
              <w:rPr>
                <w:spacing w:val="5"/>
              </w:rPr>
              <w:t>高工</w:t>
            </w:r>
          </w:p>
        </w:tc>
        <w:tc>
          <w:tcPr>
            <w:tcW w:w="1568" w:type="dxa"/>
            <w:vAlign w:val="top"/>
          </w:tcPr>
          <w:p w14:paraId="5D173AD2">
            <w:pPr>
              <w:pStyle w:val="6"/>
              <w:spacing w:before="213" w:line="220" w:lineRule="auto"/>
              <w:ind w:left="352"/>
            </w:pPr>
            <w:r>
              <w:rPr>
                <w:spacing w:val="4"/>
              </w:rPr>
              <w:t>环境监测</w:t>
            </w:r>
          </w:p>
        </w:tc>
        <w:tc>
          <w:tcPr>
            <w:tcW w:w="2407" w:type="dxa"/>
            <w:vAlign w:val="top"/>
          </w:tcPr>
          <w:p w14:paraId="07F66D6A">
            <w:pPr>
              <w:pStyle w:val="6"/>
              <w:spacing w:before="212" w:line="219" w:lineRule="auto"/>
              <w:ind w:left="354"/>
            </w:pPr>
            <w:r>
              <w:rPr>
                <w:spacing w:val="-1"/>
              </w:rPr>
              <w:t>包头市环境监测站</w:t>
            </w:r>
          </w:p>
        </w:tc>
        <w:tc>
          <w:tcPr>
            <w:tcW w:w="2143" w:type="dxa"/>
            <w:vAlign w:val="top"/>
          </w:tcPr>
          <w:p w14:paraId="3F8AA5E0">
            <w:pPr>
              <w:pStyle w:val="6"/>
              <w:spacing w:before="61" w:line="245" w:lineRule="auto"/>
              <w:ind w:left="487" w:right="448"/>
            </w:pPr>
            <w:r>
              <w:rPr>
                <w:spacing w:val="4"/>
              </w:rPr>
              <w:t>5191820(办)</w:t>
            </w:r>
            <w:r>
              <w:t xml:space="preserve"> </w:t>
            </w:r>
            <w:r>
              <w:rPr>
                <w:spacing w:val="-2"/>
              </w:rPr>
              <w:t>13171204915</w:t>
            </w:r>
          </w:p>
        </w:tc>
      </w:tr>
      <w:tr w14:paraId="4E539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44" w:type="dxa"/>
            <w:vAlign w:val="top"/>
          </w:tcPr>
          <w:p w14:paraId="17666832">
            <w:pPr>
              <w:pStyle w:val="6"/>
              <w:spacing w:before="234" w:line="241" w:lineRule="auto"/>
              <w:ind w:left="204"/>
            </w:pPr>
            <w:r>
              <w:rPr>
                <w:spacing w:val="-6"/>
              </w:rPr>
              <w:t>11</w:t>
            </w:r>
          </w:p>
        </w:tc>
        <w:tc>
          <w:tcPr>
            <w:tcW w:w="909" w:type="dxa"/>
            <w:vAlign w:val="top"/>
          </w:tcPr>
          <w:p w14:paraId="01DC427D">
            <w:pPr>
              <w:pStyle w:val="6"/>
              <w:spacing w:before="213" w:line="219" w:lineRule="auto"/>
              <w:ind w:left="130"/>
            </w:pPr>
            <w:r>
              <w:rPr>
                <w:color w:val="404050"/>
                <w:spacing w:val="6"/>
              </w:rPr>
              <w:t>程妍东</w:t>
            </w:r>
          </w:p>
        </w:tc>
        <w:tc>
          <w:tcPr>
            <w:tcW w:w="1269" w:type="dxa"/>
            <w:vAlign w:val="top"/>
          </w:tcPr>
          <w:p w14:paraId="6F7BB64C">
            <w:pPr>
              <w:pStyle w:val="6"/>
              <w:spacing w:before="53" w:line="219" w:lineRule="auto"/>
              <w:ind w:left="102"/>
            </w:pPr>
            <w:r>
              <w:rPr>
                <w:spacing w:val="-2"/>
              </w:rPr>
              <w:t>正高级工程</w:t>
            </w:r>
          </w:p>
          <w:p w14:paraId="03074CB8">
            <w:pPr>
              <w:pStyle w:val="6"/>
              <w:spacing w:before="60" w:line="217" w:lineRule="auto"/>
              <w:ind w:left="521"/>
            </w:pPr>
            <w:r>
              <w:t>师</w:t>
            </w:r>
          </w:p>
        </w:tc>
        <w:tc>
          <w:tcPr>
            <w:tcW w:w="1568" w:type="dxa"/>
            <w:vAlign w:val="top"/>
          </w:tcPr>
          <w:p w14:paraId="4FE2BF5E">
            <w:pPr>
              <w:pStyle w:val="6"/>
              <w:spacing w:before="214" w:line="220" w:lineRule="auto"/>
              <w:ind w:left="352"/>
            </w:pPr>
            <w:r>
              <w:rPr>
                <w:spacing w:val="3"/>
              </w:rPr>
              <w:t>环境保护</w:t>
            </w:r>
          </w:p>
        </w:tc>
        <w:tc>
          <w:tcPr>
            <w:tcW w:w="2407" w:type="dxa"/>
            <w:vAlign w:val="top"/>
          </w:tcPr>
          <w:p w14:paraId="57E31F91">
            <w:pPr>
              <w:pStyle w:val="6"/>
              <w:spacing w:before="213" w:line="219" w:lineRule="auto"/>
              <w:ind w:left="354"/>
            </w:pPr>
            <w:r>
              <w:rPr>
                <w:color w:val="304040"/>
                <w:spacing w:val="-1"/>
              </w:rPr>
              <w:t>包头市环境监测站</w:t>
            </w:r>
          </w:p>
        </w:tc>
        <w:tc>
          <w:tcPr>
            <w:tcW w:w="2143" w:type="dxa"/>
            <w:vAlign w:val="top"/>
          </w:tcPr>
          <w:p w14:paraId="75EA2793">
            <w:pPr>
              <w:pStyle w:val="6"/>
              <w:spacing w:before="234"/>
              <w:ind w:left="487"/>
            </w:pPr>
            <w:r>
              <w:rPr>
                <w:spacing w:val="-2"/>
              </w:rPr>
              <w:t>13624830948</w:t>
            </w:r>
          </w:p>
        </w:tc>
      </w:tr>
      <w:tr w14:paraId="62D82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44" w:type="dxa"/>
            <w:vAlign w:val="top"/>
          </w:tcPr>
          <w:p w14:paraId="31FD02C2">
            <w:pPr>
              <w:pStyle w:val="6"/>
              <w:spacing w:before="234" w:line="241" w:lineRule="auto"/>
              <w:ind w:left="204"/>
            </w:pPr>
            <w:r>
              <w:rPr>
                <w:spacing w:val="-6"/>
              </w:rPr>
              <w:t>12</w:t>
            </w:r>
          </w:p>
        </w:tc>
        <w:tc>
          <w:tcPr>
            <w:tcW w:w="909" w:type="dxa"/>
            <w:vAlign w:val="top"/>
          </w:tcPr>
          <w:p w14:paraId="07C87928">
            <w:pPr>
              <w:pStyle w:val="6"/>
              <w:spacing w:before="214" w:line="220" w:lineRule="auto"/>
              <w:ind w:left="231"/>
            </w:pPr>
            <w:r>
              <w:rPr>
                <w:spacing w:val="11"/>
              </w:rPr>
              <w:t>白岚</w:t>
            </w:r>
          </w:p>
        </w:tc>
        <w:tc>
          <w:tcPr>
            <w:tcW w:w="1269" w:type="dxa"/>
            <w:vAlign w:val="top"/>
          </w:tcPr>
          <w:p w14:paraId="77295382">
            <w:pPr>
              <w:pStyle w:val="6"/>
              <w:spacing w:before="213" w:line="219" w:lineRule="auto"/>
              <w:ind w:left="102"/>
            </w:pPr>
            <w:r>
              <w:rPr>
                <w:spacing w:val="2"/>
              </w:rPr>
              <w:t>高级工程师</w:t>
            </w:r>
          </w:p>
        </w:tc>
        <w:tc>
          <w:tcPr>
            <w:tcW w:w="1568" w:type="dxa"/>
            <w:vAlign w:val="top"/>
          </w:tcPr>
          <w:p w14:paraId="4808A44E">
            <w:pPr>
              <w:pStyle w:val="6"/>
              <w:spacing w:before="52" w:line="245" w:lineRule="auto"/>
              <w:ind w:left="671" w:right="163" w:hanging="529"/>
            </w:pPr>
            <w:r>
              <w:rPr>
                <w:spacing w:val="-2"/>
              </w:rPr>
              <w:t>环境评价与评</w:t>
            </w:r>
            <w:r>
              <w:rPr>
                <w:spacing w:val="2"/>
              </w:rPr>
              <w:t xml:space="preserve"> </w:t>
            </w:r>
            <w:r>
              <w:t>估</w:t>
            </w:r>
          </w:p>
        </w:tc>
        <w:tc>
          <w:tcPr>
            <w:tcW w:w="2407" w:type="dxa"/>
            <w:vAlign w:val="top"/>
          </w:tcPr>
          <w:p w14:paraId="5EB8DE4E">
            <w:pPr>
              <w:pStyle w:val="6"/>
              <w:spacing w:before="212" w:line="219" w:lineRule="auto"/>
              <w:ind w:left="144"/>
            </w:pPr>
            <w:r>
              <w:rPr>
                <w:spacing w:val="1"/>
              </w:rPr>
              <w:t>包头市环境科学研究院</w:t>
            </w:r>
          </w:p>
        </w:tc>
        <w:tc>
          <w:tcPr>
            <w:tcW w:w="2143" w:type="dxa"/>
            <w:vAlign w:val="top"/>
          </w:tcPr>
          <w:p w14:paraId="1B213A41">
            <w:pPr>
              <w:pStyle w:val="6"/>
              <w:spacing w:before="234"/>
              <w:ind w:left="487"/>
            </w:pPr>
            <w:r>
              <w:rPr>
                <w:spacing w:val="-2"/>
              </w:rPr>
              <w:t>13904728600</w:t>
            </w:r>
          </w:p>
        </w:tc>
      </w:tr>
      <w:tr w14:paraId="698A4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5A0A8054">
            <w:pPr>
              <w:pStyle w:val="6"/>
              <w:spacing w:before="233"/>
              <w:ind w:left="204"/>
            </w:pPr>
            <w:r>
              <w:rPr>
                <w:spacing w:val="-6"/>
              </w:rPr>
              <w:t>13</w:t>
            </w:r>
          </w:p>
        </w:tc>
        <w:tc>
          <w:tcPr>
            <w:tcW w:w="909" w:type="dxa"/>
            <w:vAlign w:val="top"/>
          </w:tcPr>
          <w:p w14:paraId="0CC0B8DA">
            <w:pPr>
              <w:pStyle w:val="6"/>
              <w:spacing w:before="214" w:line="220" w:lineRule="auto"/>
              <w:ind w:left="130"/>
            </w:pPr>
            <w:r>
              <w:rPr>
                <w:color w:val="303040"/>
                <w:spacing w:val="3"/>
              </w:rPr>
              <w:t>曲世华</w:t>
            </w:r>
          </w:p>
        </w:tc>
        <w:tc>
          <w:tcPr>
            <w:tcW w:w="1269" w:type="dxa"/>
            <w:vAlign w:val="top"/>
          </w:tcPr>
          <w:p w14:paraId="6533676A">
            <w:pPr>
              <w:pStyle w:val="6"/>
              <w:spacing w:before="213" w:line="219" w:lineRule="auto"/>
              <w:ind w:left="102"/>
            </w:pPr>
            <w:r>
              <w:rPr>
                <w:spacing w:val="2"/>
              </w:rPr>
              <w:t>高级工程师</w:t>
            </w:r>
          </w:p>
        </w:tc>
        <w:tc>
          <w:tcPr>
            <w:tcW w:w="1568" w:type="dxa"/>
            <w:vAlign w:val="top"/>
          </w:tcPr>
          <w:p w14:paraId="7E1CE3E7">
            <w:pPr>
              <w:pStyle w:val="6"/>
              <w:spacing w:before="75" w:line="239" w:lineRule="auto"/>
              <w:ind w:left="462" w:right="163" w:hanging="320"/>
            </w:pPr>
            <w:r>
              <w:rPr>
                <w:spacing w:val="-2"/>
              </w:rPr>
              <w:t>环境规划、环</w:t>
            </w:r>
            <w:r>
              <w:rPr>
                <w:spacing w:val="2"/>
              </w:rPr>
              <w:t xml:space="preserve"> </w:t>
            </w:r>
            <w:r>
              <w:rPr>
                <w:spacing w:val="-3"/>
              </w:rPr>
              <w:t>境评价</w:t>
            </w:r>
          </w:p>
        </w:tc>
        <w:tc>
          <w:tcPr>
            <w:tcW w:w="2407" w:type="dxa"/>
            <w:vAlign w:val="top"/>
          </w:tcPr>
          <w:p w14:paraId="3CDC850D">
            <w:pPr>
              <w:pStyle w:val="6"/>
              <w:spacing w:before="212" w:line="219" w:lineRule="auto"/>
              <w:ind w:left="144"/>
            </w:pPr>
            <w:r>
              <w:rPr>
                <w:spacing w:val="1"/>
              </w:rPr>
              <w:t>包头市环境科学研究院</w:t>
            </w:r>
          </w:p>
        </w:tc>
        <w:tc>
          <w:tcPr>
            <w:tcW w:w="2143" w:type="dxa"/>
            <w:vAlign w:val="top"/>
          </w:tcPr>
          <w:p w14:paraId="15EAAE9F">
            <w:pPr>
              <w:pStyle w:val="6"/>
              <w:spacing w:before="233"/>
              <w:ind w:left="487"/>
            </w:pPr>
            <w:r>
              <w:rPr>
                <w:spacing w:val="-2"/>
              </w:rPr>
              <w:t>13734808821</w:t>
            </w:r>
          </w:p>
        </w:tc>
      </w:tr>
      <w:tr w14:paraId="5B8FD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44" w:type="dxa"/>
            <w:vAlign w:val="top"/>
          </w:tcPr>
          <w:p w14:paraId="238C34DF">
            <w:pPr>
              <w:pStyle w:val="6"/>
              <w:spacing w:before="75" w:line="197" w:lineRule="auto"/>
              <w:ind w:left="204"/>
            </w:pPr>
            <w:r>
              <w:rPr>
                <w:spacing w:val="-6"/>
              </w:rPr>
              <w:t>14</w:t>
            </w:r>
          </w:p>
        </w:tc>
        <w:tc>
          <w:tcPr>
            <w:tcW w:w="909" w:type="dxa"/>
            <w:vAlign w:val="top"/>
          </w:tcPr>
          <w:p w14:paraId="34A8DDF7">
            <w:pPr>
              <w:pStyle w:val="6"/>
              <w:spacing w:before="54" w:line="216" w:lineRule="auto"/>
              <w:ind w:left="231"/>
            </w:pPr>
            <w:r>
              <w:rPr>
                <w:spacing w:val="-3"/>
              </w:rPr>
              <w:t>杨毅</w:t>
            </w:r>
          </w:p>
        </w:tc>
        <w:tc>
          <w:tcPr>
            <w:tcW w:w="1269" w:type="dxa"/>
            <w:vAlign w:val="top"/>
          </w:tcPr>
          <w:p w14:paraId="5098033B">
            <w:pPr>
              <w:pStyle w:val="6"/>
              <w:spacing w:before="54" w:line="216" w:lineRule="auto"/>
              <w:ind w:left="412"/>
            </w:pPr>
            <w:r>
              <w:rPr>
                <w:spacing w:val="5"/>
              </w:rPr>
              <w:t>高工</w:t>
            </w:r>
          </w:p>
        </w:tc>
        <w:tc>
          <w:tcPr>
            <w:tcW w:w="1568" w:type="dxa"/>
            <w:vAlign w:val="top"/>
          </w:tcPr>
          <w:p w14:paraId="5E56C218">
            <w:pPr>
              <w:pStyle w:val="6"/>
              <w:spacing w:before="56" w:line="214" w:lineRule="auto"/>
              <w:ind w:left="562"/>
            </w:pPr>
            <w:r>
              <w:rPr>
                <w:spacing w:val="5"/>
              </w:rPr>
              <w:t>化工</w:t>
            </w:r>
          </w:p>
        </w:tc>
        <w:tc>
          <w:tcPr>
            <w:tcW w:w="2407" w:type="dxa"/>
            <w:vAlign w:val="top"/>
          </w:tcPr>
          <w:p w14:paraId="63D94622">
            <w:pPr>
              <w:pStyle w:val="6"/>
              <w:spacing w:before="53" w:line="217" w:lineRule="auto"/>
              <w:ind w:left="354"/>
            </w:pPr>
            <w:r>
              <w:rPr>
                <w:spacing w:val="-1"/>
              </w:rPr>
              <w:t>包头市化工研究所</w:t>
            </w:r>
          </w:p>
        </w:tc>
        <w:tc>
          <w:tcPr>
            <w:tcW w:w="2143" w:type="dxa"/>
            <w:vAlign w:val="top"/>
          </w:tcPr>
          <w:p w14:paraId="6D9DF344">
            <w:pPr>
              <w:pStyle w:val="6"/>
              <w:spacing w:before="57" w:line="213" w:lineRule="auto"/>
              <w:ind w:left="487"/>
            </w:pPr>
            <w:r>
              <w:rPr>
                <w:spacing w:val="4"/>
              </w:rPr>
              <w:t>2145269(宅)</w:t>
            </w:r>
          </w:p>
        </w:tc>
      </w:tr>
      <w:tr w14:paraId="7171D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787FE764">
            <w:pPr>
              <w:pStyle w:val="6"/>
              <w:spacing w:before="235"/>
              <w:ind w:left="204"/>
            </w:pPr>
            <w:r>
              <w:rPr>
                <w:spacing w:val="-6"/>
              </w:rPr>
              <w:t>15</w:t>
            </w:r>
          </w:p>
        </w:tc>
        <w:tc>
          <w:tcPr>
            <w:tcW w:w="909" w:type="dxa"/>
            <w:vAlign w:val="top"/>
          </w:tcPr>
          <w:p w14:paraId="4F2CB3E4">
            <w:pPr>
              <w:pStyle w:val="6"/>
              <w:spacing w:before="217" w:line="221" w:lineRule="auto"/>
              <w:ind w:left="130"/>
            </w:pPr>
            <w:r>
              <w:rPr>
                <w:spacing w:val="2"/>
              </w:rPr>
              <w:t>张宏江</w:t>
            </w:r>
          </w:p>
        </w:tc>
        <w:tc>
          <w:tcPr>
            <w:tcW w:w="1269" w:type="dxa"/>
            <w:vAlign w:val="top"/>
          </w:tcPr>
          <w:p w14:paraId="62111A4E">
            <w:pPr>
              <w:pStyle w:val="6"/>
              <w:spacing w:before="214" w:line="219" w:lineRule="auto"/>
              <w:ind w:left="412"/>
            </w:pPr>
            <w:r>
              <w:rPr>
                <w:spacing w:val="5"/>
              </w:rPr>
              <w:t>高工</w:t>
            </w:r>
          </w:p>
        </w:tc>
        <w:tc>
          <w:tcPr>
            <w:tcW w:w="1568" w:type="dxa"/>
            <w:vAlign w:val="top"/>
          </w:tcPr>
          <w:p w14:paraId="56FBF35A">
            <w:pPr>
              <w:pStyle w:val="6"/>
              <w:spacing w:before="215" w:line="220" w:lineRule="auto"/>
              <w:ind w:left="352"/>
            </w:pPr>
            <w:r>
              <w:rPr>
                <w:color w:val="404050"/>
                <w:spacing w:val="6"/>
              </w:rPr>
              <w:t>稀土应用</w:t>
            </w:r>
          </w:p>
        </w:tc>
        <w:tc>
          <w:tcPr>
            <w:tcW w:w="2407" w:type="dxa"/>
            <w:vAlign w:val="top"/>
          </w:tcPr>
          <w:p w14:paraId="33A9E688">
            <w:pPr>
              <w:pStyle w:val="6"/>
              <w:spacing w:before="213" w:line="219" w:lineRule="auto"/>
              <w:ind w:left="464"/>
            </w:pPr>
            <w:r>
              <w:rPr>
                <w:spacing w:val="1"/>
              </w:rPr>
              <w:t>包钢稀土研究院</w:t>
            </w:r>
          </w:p>
        </w:tc>
        <w:tc>
          <w:tcPr>
            <w:tcW w:w="2143" w:type="dxa"/>
            <w:vAlign w:val="top"/>
          </w:tcPr>
          <w:p w14:paraId="252BC5E7">
            <w:pPr>
              <w:pStyle w:val="6"/>
              <w:spacing w:before="94" w:line="219" w:lineRule="auto"/>
              <w:ind w:left="227"/>
            </w:pPr>
            <w:r>
              <w:rPr>
                <w:spacing w:val="3"/>
              </w:rPr>
              <w:t>5154411-8201(办)</w:t>
            </w:r>
          </w:p>
          <w:p w14:paraId="78371BD4">
            <w:pPr>
              <w:pStyle w:val="6"/>
              <w:spacing w:before="63" w:line="186" w:lineRule="auto"/>
              <w:ind w:left="487"/>
            </w:pPr>
            <w:r>
              <w:rPr>
                <w:spacing w:val="4"/>
              </w:rPr>
              <w:t>2153651(宅)</w:t>
            </w:r>
          </w:p>
        </w:tc>
      </w:tr>
      <w:tr w14:paraId="0B710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44" w:type="dxa"/>
            <w:vAlign w:val="top"/>
          </w:tcPr>
          <w:p w14:paraId="146C84E7">
            <w:pPr>
              <w:pStyle w:val="6"/>
              <w:spacing w:before="236"/>
              <w:ind w:left="204"/>
            </w:pPr>
            <w:r>
              <w:rPr>
                <w:spacing w:val="-6"/>
              </w:rPr>
              <w:t>16</w:t>
            </w:r>
          </w:p>
        </w:tc>
        <w:tc>
          <w:tcPr>
            <w:tcW w:w="909" w:type="dxa"/>
            <w:vAlign w:val="top"/>
          </w:tcPr>
          <w:p w14:paraId="79A5B861">
            <w:pPr>
              <w:pStyle w:val="6"/>
              <w:spacing w:before="215" w:line="219" w:lineRule="auto"/>
              <w:ind w:left="231"/>
            </w:pPr>
            <w:r>
              <w:rPr>
                <w:spacing w:val="-3"/>
              </w:rPr>
              <w:t>曹敏</w:t>
            </w:r>
          </w:p>
        </w:tc>
        <w:tc>
          <w:tcPr>
            <w:tcW w:w="1269" w:type="dxa"/>
            <w:vAlign w:val="top"/>
          </w:tcPr>
          <w:p w14:paraId="6AD4F4DF">
            <w:pPr>
              <w:pStyle w:val="6"/>
              <w:spacing w:before="215" w:line="219" w:lineRule="auto"/>
              <w:ind w:left="102"/>
            </w:pPr>
            <w:r>
              <w:rPr>
                <w:spacing w:val="2"/>
              </w:rPr>
              <w:t>高级工程师</w:t>
            </w:r>
          </w:p>
        </w:tc>
        <w:tc>
          <w:tcPr>
            <w:tcW w:w="1568" w:type="dxa"/>
            <w:vAlign w:val="top"/>
          </w:tcPr>
          <w:p w14:paraId="1AD79867">
            <w:pPr>
              <w:pStyle w:val="6"/>
              <w:spacing w:before="216" w:line="221" w:lineRule="auto"/>
              <w:ind w:left="562"/>
            </w:pPr>
            <w:r>
              <w:rPr>
                <w:spacing w:val="6"/>
              </w:rPr>
              <w:t>燃气</w:t>
            </w:r>
          </w:p>
        </w:tc>
        <w:tc>
          <w:tcPr>
            <w:tcW w:w="2407" w:type="dxa"/>
            <w:vAlign w:val="top"/>
          </w:tcPr>
          <w:p w14:paraId="5D25F479">
            <w:pPr>
              <w:pStyle w:val="6"/>
              <w:spacing w:before="215" w:line="219" w:lineRule="auto"/>
              <w:ind w:left="255"/>
            </w:pPr>
            <w:r>
              <w:rPr>
                <w:spacing w:val="1"/>
              </w:rPr>
              <w:t>包钢集团公司燃气厂</w:t>
            </w:r>
          </w:p>
        </w:tc>
        <w:tc>
          <w:tcPr>
            <w:tcW w:w="2143" w:type="dxa"/>
            <w:vAlign w:val="top"/>
          </w:tcPr>
          <w:p w14:paraId="691E3C7C">
            <w:pPr>
              <w:pStyle w:val="6"/>
              <w:spacing w:before="105"/>
              <w:ind w:left="697"/>
            </w:pPr>
            <w:r>
              <w:rPr>
                <w:spacing w:val="-2"/>
              </w:rPr>
              <w:t>2182266</w:t>
            </w:r>
          </w:p>
          <w:p w14:paraId="6A5EDE86">
            <w:pPr>
              <w:pStyle w:val="6"/>
              <w:spacing w:before="37" w:line="169" w:lineRule="auto"/>
              <w:ind w:left="487"/>
            </w:pPr>
            <w:r>
              <w:rPr>
                <w:spacing w:val="-2"/>
              </w:rPr>
              <w:t>13847282800</w:t>
            </w:r>
          </w:p>
        </w:tc>
      </w:tr>
      <w:tr w14:paraId="2945F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4A552016">
            <w:pPr>
              <w:pStyle w:val="6"/>
              <w:spacing w:before="237"/>
              <w:ind w:left="204"/>
            </w:pPr>
            <w:r>
              <w:rPr>
                <w:spacing w:val="-6"/>
              </w:rPr>
              <w:t>17</w:t>
            </w:r>
          </w:p>
        </w:tc>
        <w:tc>
          <w:tcPr>
            <w:tcW w:w="909" w:type="dxa"/>
            <w:vAlign w:val="top"/>
          </w:tcPr>
          <w:p w14:paraId="378D9F82">
            <w:pPr>
              <w:pStyle w:val="6"/>
              <w:spacing w:before="217" w:line="220" w:lineRule="auto"/>
              <w:ind w:left="130"/>
            </w:pPr>
            <w:r>
              <w:rPr>
                <w:spacing w:val="3"/>
              </w:rPr>
              <w:t>张保生</w:t>
            </w:r>
          </w:p>
        </w:tc>
        <w:tc>
          <w:tcPr>
            <w:tcW w:w="1269" w:type="dxa"/>
            <w:vAlign w:val="top"/>
          </w:tcPr>
          <w:p w14:paraId="7944A778">
            <w:pPr>
              <w:pStyle w:val="6"/>
              <w:spacing w:before="216" w:line="219" w:lineRule="auto"/>
              <w:ind w:left="102"/>
            </w:pPr>
            <w:r>
              <w:rPr>
                <w:spacing w:val="2"/>
              </w:rPr>
              <w:t>教授级高工</w:t>
            </w:r>
          </w:p>
        </w:tc>
        <w:tc>
          <w:tcPr>
            <w:tcW w:w="1568" w:type="dxa"/>
            <w:vAlign w:val="top"/>
          </w:tcPr>
          <w:p w14:paraId="5C1BFED5">
            <w:pPr>
              <w:pStyle w:val="6"/>
              <w:spacing w:before="217" w:line="220" w:lineRule="auto"/>
              <w:ind w:left="352"/>
            </w:pPr>
            <w:r>
              <w:rPr>
                <w:spacing w:val="3"/>
              </w:rPr>
              <w:t>环境保护</w:t>
            </w:r>
          </w:p>
        </w:tc>
        <w:tc>
          <w:tcPr>
            <w:tcW w:w="2407" w:type="dxa"/>
            <w:vAlign w:val="top"/>
          </w:tcPr>
          <w:p w14:paraId="50585917">
            <w:pPr>
              <w:pStyle w:val="6"/>
              <w:spacing w:before="216" w:line="219" w:lineRule="auto"/>
              <w:ind w:left="144"/>
            </w:pPr>
            <w:r>
              <w:rPr>
                <w:spacing w:val="-1"/>
              </w:rPr>
              <w:t>包头市辐射环境管理处</w:t>
            </w:r>
          </w:p>
        </w:tc>
        <w:tc>
          <w:tcPr>
            <w:tcW w:w="2143" w:type="dxa"/>
            <w:vAlign w:val="top"/>
          </w:tcPr>
          <w:p w14:paraId="2297E307">
            <w:pPr>
              <w:pStyle w:val="6"/>
              <w:spacing w:before="106"/>
              <w:ind w:left="697"/>
            </w:pPr>
            <w:r>
              <w:rPr>
                <w:spacing w:val="-2"/>
              </w:rPr>
              <w:t>5191909</w:t>
            </w:r>
          </w:p>
          <w:p w14:paraId="43149248">
            <w:pPr>
              <w:pStyle w:val="6"/>
              <w:spacing w:before="37" w:line="177" w:lineRule="auto"/>
              <w:ind w:left="487"/>
            </w:pPr>
            <w:r>
              <w:rPr>
                <w:spacing w:val="-2"/>
              </w:rPr>
              <w:t>13947227148</w:t>
            </w:r>
          </w:p>
        </w:tc>
      </w:tr>
      <w:tr w14:paraId="48AE7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644" w:type="dxa"/>
            <w:vAlign w:val="top"/>
          </w:tcPr>
          <w:p w14:paraId="2C2545D8">
            <w:pPr>
              <w:pStyle w:val="6"/>
              <w:spacing w:before="228"/>
              <w:ind w:left="204"/>
            </w:pPr>
            <w:r>
              <w:rPr>
                <w:spacing w:val="-6"/>
              </w:rPr>
              <w:t>18</w:t>
            </w:r>
          </w:p>
        </w:tc>
        <w:tc>
          <w:tcPr>
            <w:tcW w:w="909" w:type="dxa"/>
            <w:vAlign w:val="top"/>
          </w:tcPr>
          <w:p w14:paraId="71C05FC6">
            <w:pPr>
              <w:pStyle w:val="6"/>
              <w:spacing w:before="207" w:line="219" w:lineRule="auto"/>
              <w:ind w:left="231"/>
            </w:pPr>
            <w:r>
              <w:rPr>
                <w:spacing w:val="-2"/>
              </w:rPr>
              <w:t>黄哲</w:t>
            </w:r>
          </w:p>
        </w:tc>
        <w:tc>
          <w:tcPr>
            <w:tcW w:w="1269" w:type="dxa"/>
            <w:vAlign w:val="top"/>
          </w:tcPr>
          <w:p w14:paraId="4EDE1AE0">
            <w:pPr>
              <w:pStyle w:val="6"/>
              <w:spacing w:before="207" w:line="219" w:lineRule="auto"/>
              <w:ind w:left="102"/>
            </w:pPr>
            <w:r>
              <w:rPr>
                <w:spacing w:val="2"/>
              </w:rPr>
              <w:t>高级工程师</w:t>
            </w:r>
          </w:p>
        </w:tc>
        <w:tc>
          <w:tcPr>
            <w:tcW w:w="1568" w:type="dxa"/>
            <w:vAlign w:val="top"/>
          </w:tcPr>
          <w:p w14:paraId="63F65FC4">
            <w:pPr>
              <w:pStyle w:val="6"/>
              <w:spacing w:before="208" w:line="220" w:lineRule="auto"/>
              <w:ind w:left="352"/>
            </w:pPr>
            <w:r>
              <w:rPr>
                <w:spacing w:val="3"/>
              </w:rPr>
              <w:t>环境保护</w:t>
            </w:r>
          </w:p>
        </w:tc>
        <w:tc>
          <w:tcPr>
            <w:tcW w:w="2407" w:type="dxa"/>
            <w:vAlign w:val="top"/>
          </w:tcPr>
          <w:p w14:paraId="06C8758A">
            <w:pPr>
              <w:pStyle w:val="6"/>
              <w:spacing w:before="206" w:line="219" w:lineRule="auto"/>
              <w:ind w:left="144"/>
            </w:pPr>
            <w:r>
              <w:rPr>
                <w:spacing w:val="1"/>
              </w:rPr>
              <w:t>包头市环境科学研究院</w:t>
            </w:r>
          </w:p>
        </w:tc>
        <w:tc>
          <w:tcPr>
            <w:tcW w:w="2143" w:type="dxa"/>
            <w:vAlign w:val="top"/>
          </w:tcPr>
          <w:p w14:paraId="1D891CF4">
            <w:pPr>
              <w:pStyle w:val="6"/>
              <w:spacing w:before="97"/>
              <w:ind w:left="697"/>
            </w:pPr>
            <w:r>
              <w:rPr>
                <w:spacing w:val="-2"/>
              </w:rPr>
              <w:t>5191705</w:t>
            </w:r>
          </w:p>
          <w:p w14:paraId="5E916E0C">
            <w:pPr>
              <w:pStyle w:val="6"/>
              <w:spacing w:before="27" w:line="177" w:lineRule="auto"/>
              <w:ind w:left="487"/>
            </w:pPr>
            <w:r>
              <w:rPr>
                <w:spacing w:val="-2"/>
              </w:rPr>
              <w:t>13847385066</w:t>
            </w:r>
          </w:p>
        </w:tc>
      </w:tr>
      <w:tr w14:paraId="5A36F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44" w:type="dxa"/>
            <w:vAlign w:val="top"/>
          </w:tcPr>
          <w:p w14:paraId="67899D37">
            <w:pPr>
              <w:pStyle w:val="6"/>
              <w:spacing w:before="238"/>
              <w:ind w:left="204"/>
            </w:pPr>
            <w:r>
              <w:rPr>
                <w:spacing w:val="-6"/>
              </w:rPr>
              <w:t>19</w:t>
            </w:r>
          </w:p>
        </w:tc>
        <w:tc>
          <w:tcPr>
            <w:tcW w:w="909" w:type="dxa"/>
            <w:vAlign w:val="top"/>
          </w:tcPr>
          <w:p w14:paraId="3E528EF3">
            <w:pPr>
              <w:pStyle w:val="6"/>
              <w:spacing w:before="217" w:line="219" w:lineRule="auto"/>
              <w:ind w:left="130"/>
            </w:pPr>
            <w:r>
              <w:rPr>
                <w:spacing w:val="3"/>
              </w:rPr>
              <w:t>贺瑞萍</w:t>
            </w:r>
          </w:p>
        </w:tc>
        <w:tc>
          <w:tcPr>
            <w:tcW w:w="1269" w:type="dxa"/>
            <w:vAlign w:val="top"/>
          </w:tcPr>
          <w:p w14:paraId="63FE67B9">
            <w:pPr>
              <w:pStyle w:val="6"/>
              <w:spacing w:before="217" w:line="219" w:lineRule="auto"/>
              <w:ind w:left="102"/>
            </w:pPr>
            <w:r>
              <w:rPr>
                <w:spacing w:val="2"/>
              </w:rPr>
              <w:t>高级工程师</w:t>
            </w:r>
          </w:p>
        </w:tc>
        <w:tc>
          <w:tcPr>
            <w:tcW w:w="1568" w:type="dxa"/>
            <w:vAlign w:val="top"/>
          </w:tcPr>
          <w:p w14:paraId="2739F811">
            <w:pPr>
              <w:pStyle w:val="6"/>
              <w:spacing w:before="218" w:line="220" w:lineRule="auto"/>
              <w:ind w:left="352"/>
            </w:pPr>
            <w:r>
              <w:rPr>
                <w:spacing w:val="-2"/>
              </w:rPr>
              <w:t>有色冶金</w:t>
            </w:r>
          </w:p>
        </w:tc>
        <w:tc>
          <w:tcPr>
            <w:tcW w:w="2407" w:type="dxa"/>
            <w:vAlign w:val="top"/>
          </w:tcPr>
          <w:p w14:paraId="2C51366D">
            <w:pPr>
              <w:pStyle w:val="6"/>
              <w:spacing w:before="57" w:line="247" w:lineRule="auto"/>
              <w:ind w:left="984" w:right="160" w:hanging="840"/>
            </w:pPr>
            <w:r>
              <w:rPr>
                <w:spacing w:val="-1"/>
              </w:rPr>
              <w:t>包头华鼎铜业发展有限</w:t>
            </w:r>
            <w:r>
              <w:t xml:space="preserve"> </w:t>
            </w:r>
            <w:r>
              <w:rPr>
                <w:spacing w:val="14"/>
              </w:rPr>
              <w:t>公司</w:t>
            </w:r>
          </w:p>
        </w:tc>
        <w:tc>
          <w:tcPr>
            <w:tcW w:w="2143" w:type="dxa"/>
            <w:vAlign w:val="top"/>
          </w:tcPr>
          <w:p w14:paraId="497DEEE4">
            <w:pPr>
              <w:pStyle w:val="6"/>
              <w:spacing w:before="238"/>
              <w:ind w:left="487"/>
            </w:pPr>
            <w:r>
              <w:rPr>
                <w:spacing w:val="-2"/>
              </w:rPr>
              <w:t>13384868178</w:t>
            </w:r>
          </w:p>
        </w:tc>
      </w:tr>
      <w:tr w14:paraId="6EAD4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44" w:type="dxa"/>
            <w:vAlign w:val="top"/>
          </w:tcPr>
          <w:p w14:paraId="34AF4090">
            <w:pPr>
              <w:pStyle w:val="6"/>
              <w:spacing w:before="239"/>
              <w:ind w:left="204"/>
            </w:pPr>
            <w:r>
              <w:rPr>
                <w:spacing w:val="-3"/>
              </w:rPr>
              <w:t>20</w:t>
            </w:r>
          </w:p>
        </w:tc>
        <w:tc>
          <w:tcPr>
            <w:tcW w:w="909" w:type="dxa"/>
            <w:vAlign w:val="top"/>
          </w:tcPr>
          <w:p w14:paraId="0356579C">
            <w:pPr>
              <w:pStyle w:val="6"/>
              <w:spacing w:before="221" w:line="222" w:lineRule="auto"/>
              <w:ind w:left="231"/>
            </w:pPr>
            <w:r>
              <w:rPr>
                <w:spacing w:val="7"/>
              </w:rPr>
              <w:t>庞宏</w:t>
            </w:r>
          </w:p>
        </w:tc>
        <w:tc>
          <w:tcPr>
            <w:tcW w:w="1269" w:type="dxa"/>
            <w:vAlign w:val="top"/>
          </w:tcPr>
          <w:p w14:paraId="7A5E4D3C">
            <w:pPr>
              <w:pStyle w:val="6"/>
              <w:spacing w:before="78" w:line="219" w:lineRule="auto"/>
              <w:ind w:left="102"/>
            </w:pPr>
            <w:r>
              <w:rPr>
                <w:spacing w:val="2"/>
              </w:rPr>
              <w:t>教授级高级</w:t>
            </w:r>
          </w:p>
          <w:p w14:paraId="2CF03A3E">
            <w:pPr>
              <w:pStyle w:val="6"/>
              <w:spacing w:before="50" w:line="204" w:lineRule="auto"/>
              <w:ind w:left="311"/>
            </w:pPr>
            <w:r>
              <w:rPr>
                <w:spacing w:val="3"/>
              </w:rPr>
              <w:t>工程师</w:t>
            </w:r>
          </w:p>
        </w:tc>
        <w:tc>
          <w:tcPr>
            <w:tcW w:w="1568" w:type="dxa"/>
            <w:vAlign w:val="top"/>
          </w:tcPr>
          <w:p w14:paraId="15887984">
            <w:pPr>
              <w:pStyle w:val="6"/>
              <w:spacing w:before="216" w:line="218" w:lineRule="auto"/>
              <w:ind w:left="142"/>
            </w:pPr>
            <w:r>
              <w:rPr>
                <w:spacing w:val="-2"/>
              </w:rPr>
              <w:t>环境影响评价</w:t>
            </w:r>
          </w:p>
        </w:tc>
        <w:tc>
          <w:tcPr>
            <w:tcW w:w="2407" w:type="dxa"/>
            <w:vAlign w:val="top"/>
          </w:tcPr>
          <w:p w14:paraId="243401C0">
            <w:pPr>
              <w:pStyle w:val="6"/>
              <w:spacing w:before="57" w:line="243" w:lineRule="auto"/>
              <w:ind w:left="673" w:right="144" w:hanging="529"/>
            </w:pPr>
            <w:r>
              <w:rPr>
                <w:color w:val="405050"/>
              </w:rPr>
              <w:t>内蒙古华泰瀚光环境科</w:t>
            </w:r>
            <w:r>
              <w:rPr>
                <w:color w:val="405050"/>
                <w:spacing w:val="6"/>
              </w:rPr>
              <w:t xml:space="preserve"> </w:t>
            </w:r>
            <w:r>
              <w:rPr>
                <w:color w:val="405050"/>
                <w:spacing w:val="5"/>
              </w:rPr>
              <w:t>技有限</w:t>
            </w:r>
            <w:r>
              <w:rPr>
                <w:spacing w:val="5"/>
              </w:rPr>
              <w:t>公司</w:t>
            </w:r>
          </w:p>
        </w:tc>
        <w:tc>
          <w:tcPr>
            <w:tcW w:w="2143" w:type="dxa"/>
            <w:vAlign w:val="top"/>
          </w:tcPr>
          <w:p w14:paraId="534447EA">
            <w:pPr>
              <w:pStyle w:val="6"/>
              <w:spacing w:before="239"/>
              <w:ind w:left="487"/>
            </w:pPr>
            <w:r>
              <w:rPr>
                <w:spacing w:val="-2"/>
              </w:rPr>
              <w:t>13704732258</w:t>
            </w:r>
          </w:p>
        </w:tc>
      </w:tr>
      <w:tr w14:paraId="52E33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644" w:type="dxa"/>
            <w:vAlign w:val="top"/>
          </w:tcPr>
          <w:p w14:paraId="14B569EF">
            <w:pPr>
              <w:pStyle w:val="6"/>
              <w:spacing w:before="239" w:line="241" w:lineRule="auto"/>
              <w:ind w:left="204"/>
            </w:pPr>
            <w:r>
              <w:rPr>
                <w:spacing w:val="-3"/>
              </w:rPr>
              <w:t>21</w:t>
            </w:r>
          </w:p>
        </w:tc>
        <w:tc>
          <w:tcPr>
            <w:tcW w:w="909" w:type="dxa"/>
            <w:vAlign w:val="top"/>
          </w:tcPr>
          <w:p w14:paraId="103BC3DE">
            <w:pPr>
              <w:pStyle w:val="6"/>
              <w:spacing w:before="218" w:line="219" w:lineRule="auto"/>
              <w:ind w:left="130"/>
            </w:pPr>
            <w:r>
              <w:rPr>
                <w:spacing w:val="-3"/>
              </w:rPr>
              <w:t>王树生</w:t>
            </w:r>
          </w:p>
        </w:tc>
        <w:tc>
          <w:tcPr>
            <w:tcW w:w="1269" w:type="dxa"/>
            <w:vAlign w:val="top"/>
          </w:tcPr>
          <w:p w14:paraId="7FE94F59">
            <w:pPr>
              <w:pStyle w:val="6"/>
              <w:spacing w:before="218" w:line="219" w:lineRule="auto"/>
              <w:ind w:left="102"/>
            </w:pPr>
            <w:r>
              <w:rPr>
                <w:spacing w:val="2"/>
              </w:rPr>
              <w:t>高级工程师</w:t>
            </w:r>
          </w:p>
        </w:tc>
        <w:tc>
          <w:tcPr>
            <w:tcW w:w="1568" w:type="dxa"/>
            <w:vAlign w:val="top"/>
          </w:tcPr>
          <w:p w14:paraId="20B8F639">
            <w:pPr>
              <w:pStyle w:val="6"/>
              <w:spacing w:before="216" w:line="218" w:lineRule="auto"/>
              <w:ind w:left="142"/>
            </w:pPr>
            <w:r>
              <w:rPr>
                <w:spacing w:val="-2"/>
              </w:rPr>
              <w:t>环境影响评价</w:t>
            </w:r>
          </w:p>
        </w:tc>
        <w:tc>
          <w:tcPr>
            <w:tcW w:w="2407" w:type="dxa"/>
            <w:vAlign w:val="top"/>
          </w:tcPr>
          <w:p w14:paraId="4F8CF22F">
            <w:pPr>
              <w:pStyle w:val="6"/>
              <w:spacing w:before="57" w:line="219" w:lineRule="auto"/>
              <w:ind w:left="144"/>
            </w:pPr>
            <w:r>
              <w:rPr>
                <w:color w:val="405050"/>
              </w:rPr>
              <w:t>内蒙古华泰瀚光环境科</w:t>
            </w:r>
          </w:p>
          <w:p w14:paraId="7167AF4F">
            <w:pPr>
              <w:pStyle w:val="6"/>
              <w:spacing w:before="83" w:line="206" w:lineRule="auto"/>
              <w:ind w:left="674"/>
            </w:pPr>
            <w:r>
              <w:rPr>
                <w:spacing w:val="5"/>
              </w:rPr>
              <w:t>技有限公司</w:t>
            </w:r>
          </w:p>
        </w:tc>
        <w:tc>
          <w:tcPr>
            <w:tcW w:w="2143" w:type="dxa"/>
            <w:vAlign w:val="top"/>
          </w:tcPr>
          <w:p w14:paraId="1BEA642B">
            <w:pPr>
              <w:pStyle w:val="6"/>
              <w:spacing w:before="239"/>
              <w:ind w:left="487"/>
            </w:pPr>
            <w:r>
              <w:rPr>
                <w:spacing w:val="-2"/>
              </w:rPr>
              <w:t>13654721115</w:t>
            </w:r>
          </w:p>
        </w:tc>
      </w:tr>
    </w:tbl>
    <w:p w14:paraId="04AF8A69">
      <w:pPr>
        <w:rPr>
          <w:rFonts w:ascii="Arial"/>
          <w:sz w:val="21"/>
        </w:rPr>
      </w:pPr>
    </w:p>
    <w:p w14:paraId="36265CA3">
      <w:pPr>
        <w:rPr>
          <w:rFonts w:ascii="Arial" w:hAnsi="Arial" w:eastAsia="Arial" w:cs="Arial"/>
          <w:sz w:val="21"/>
          <w:szCs w:val="21"/>
        </w:rPr>
        <w:sectPr>
          <w:footerReference r:id="rId43" w:type="default"/>
          <w:pgSz w:w="11910" w:h="16850"/>
          <w:pgMar w:top="1432" w:right="1594" w:bottom="1314" w:left="1365" w:header="0" w:footer="1179" w:gutter="0"/>
          <w:cols w:space="720" w:num="1"/>
        </w:sectPr>
      </w:pPr>
    </w:p>
    <w:p w14:paraId="0473DF80">
      <w:pPr>
        <w:spacing w:before="12" w:line="188" w:lineRule="auto"/>
        <w:jc w:val="right"/>
        <w:rPr>
          <w:rFonts w:ascii="Times New Roman" w:hAnsi="Times New Roman" w:eastAsia="Times New Roman" w:cs="Times New Roman"/>
          <w:sz w:val="9"/>
          <w:szCs w:val="9"/>
        </w:rPr>
      </w:pPr>
      <w:r>
        <w:rPr>
          <w:rFonts w:ascii="Times New Roman" w:hAnsi="Times New Roman" w:eastAsia="Times New Roman" w:cs="Times New Roman"/>
          <w:spacing w:val="-4"/>
          <w:sz w:val="9"/>
          <w:szCs w:val="9"/>
        </w:rPr>
        <w:t>C</w:t>
      </w:r>
    </w:p>
    <w:p w14:paraId="17166156">
      <w:pPr>
        <w:spacing w:line="388" w:lineRule="auto"/>
        <w:rPr>
          <w:rFonts w:ascii="Arial"/>
          <w:sz w:val="21"/>
        </w:rPr>
      </w:pPr>
    </w:p>
    <w:p w14:paraId="2DD8EC23">
      <w:pPr>
        <w:spacing w:before="101" w:line="221" w:lineRule="auto"/>
        <w:rPr>
          <w:rFonts w:ascii="宋体" w:hAnsi="宋体" w:eastAsia="宋体" w:cs="宋体"/>
          <w:sz w:val="31"/>
          <w:szCs w:val="31"/>
        </w:rPr>
      </w:pPr>
      <w:r>
        <w:rPr>
          <w:rFonts w:ascii="宋体" w:hAnsi="宋体" w:eastAsia="宋体" w:cs="宋体"/>
          <w:spacing w:val="-11"/>
          <w:sz w:val="31"/>
          <w:szCs w:val="31"/>
        </w:rPr>
        <w:t>7、</w:t>
      </w:r>
      <w:r>
        <w:rPr>
          <w:rFonts w:ascii="宋体" w:hAnsi="宋体" w:eastAsia="宋体" w:cs="宋体"/>
          <w:b/>
          <w:bCs/>
          <w:spacing w:val="-11"/>
          <w:sz w:val="31"/>
          <w:szCs w:val="31"/>
        </w:rPr>
        <w:t>结论</w:t>
      </w:r>
    </w:p>
    <w:p w14:paraId="2DE3A5F7">
      <w:pPr>
        <w:spacing w:before="186" w:line="221" w:lineRule="auto"/>
        <w:rPr>
          <w:rFonts w:ascii="宋体" w:hAnsi="宋体" w:eastAsia="宋体" w:cs="宋体"/>
          <w:sz w:val="24"/>
          <w:szCs w:val="24"/>
        </w:rPr>
      </w:pPr>
      <w:r>
        <w:rPr>
          <w:rFonts w:ascii="宋体" w:hAnsi="宋体" w:eastAsia="宋体" w:cs="宋体"/>
          <w:sz w:val="24"/>
          <w:szCs w:val="24"/>
        </w:rPr>
        <w:t>7.</w:t>
      </w:r>
      <w:r>
        <w:rPr>
          <w:rFonts w:ascii="宋体" w:hAnsi="宋体" w:eastAsia="宋体" w:cs="宋体"/>
          <w:b/>
          <w:bCs/>
          <w:sz w:val="24"/>
          <w:szCs w:val="24"/>
        </w:rPr>
        <w:t>1结论</w:t>
      </w:r>
    </w:p>
    <w:p w14:paraId="3243215F">
      <w:pPr>
        <w:spacing w:before="184" w:line="219" w:lineRule="auto"/>
        <w:ind w:left="489"/>
        <w:rPr>
          <w:rFonts w:ascii="宋体" w:hAnsi="宋体" w:eastAsia="宋体" w:cs="宋体"/>
          <w:sz w:val="24"/>
          <w:szCs w:val="24"/>
        </w:rPr>
      </w:pPr>
      <w:r>
        <w:rPr>
          <w:rFonts w:ascii="宋体" w:hAnsi="宋体" w:eastAsia="宋体" w:cs="宋体"/>
          <w:color w:val="506070"/>
          <w:sz w:val="24"/>
          <w:szCs w:val="24"/>
        </w:rPr>
        <w:t>目前，包头市石拐区集中式饮用水水源地1#</w:t>
      </w:r>
      <w:r>
        <w:rPr>
          <w:rFonts w:ascii="宋体" w:hAnsi="宋体" w:eastAsia="宋体" w:cs="宋体"/>
          <w:color w:val="707070"/>
          <w:sz w:val="24"/>
          <w:szCs w:val="24"/>
        </w:rPr>
        <w:t>井主要是石拐旧区的生活水源</w:t>
      </w:r>
    </w:p>
    <w:p w14:paraId="400B0EE5">
      <w:pPr>
        <w:spacing w:before="184" w:line="342" w:lineRule="auto"/>
        <w:ind w:right="1116"/>
        <w:rPr>
          <w:rFonts w:ascii="宋体" w:hAnsi="宋体" w:eastAsia="宋体" w:cs="宋体"/>
          <w:sz w:val="24"/>
          <w:szCs w:val="24"/>
        </w:rPr>
      </w:pPr>
      <w:r>
        <w:rPr>
          <w:rFonts w:ascii="宋体" w:hAnsi="宋体" w:eastAsia="宋体" w:cs="宋体"/>
          <w:sz w:val="24"/>
          <w:szCs w:val="24"/>
        </w:rPr>
        <w:t>地，由包头市五当生活服务有限公司负责管理，建成于200</w:t>
      </w:r>
      <w:r>
        <w:rPr>
          <w:rFonts w:ascii="宋体" w:hAnsi="宋体" w:eastAsia="宋体" w:cs="宋体"/>
          <w:spacing w:val="-1"/>
          <w:sz w:val="24"/>
          <w:szCs w:val="24"/>
        </w:rPr>
        <w:t>6年，井深10米，供水</w:t>
      </w:r>
      <w:r>
        <w:rPr>
          <w:rFonts w:ascii="宋体" w:hAnsi="宋体" w:eastAsia="宋体" w:cs="宋体"/>
          <w:sz w:val="24"/>
          <w:szCs w:val="24"/>
        </w:rPr>
        <w:t xml:space="preserve"> </w:t>
      </w:r>
      <w:r>
        <w:rPr>
          <w:rFonts w:ascii="宋体" w:hAnsi="宋体" w:eastAsia="宋体" w:cs="宋体"/>
          <w:spacing w:val="2"/>
          <w:sz w:val="24"/>
          <w:szCs w:val="24"/>
        </w:rPr>
        <w:t>能力为1000</w:t>
      </w:r>
      <w:r>
        <w:rPr>
          <w:rFonts w:ascii="Times New Roman" w:hAnsi="Times New Roman" w:eastAsia="Times New Roman" w:cs="Times New Roman"/>
          <w:spacing w:val="2"/>
          <w:sz w:val="24"/>
          <w:szCs w:val="24"/>
        </w:rPr>
        <w:t xml:space="preserve">t/d,    </w:t>
      </w:r>
      <w:r>
        <w:rPr>
          <w:rFonts w:ascii="宋体" w:hAnsi="宋体" w:eastAsia="宋体" w:cs="宋体"/>
          <w:spacing w:val="2"/>
          <w:sz w:val="24"/>
          <w:szCs w:val="24"/>
        </w:rPr>
        <w:t>现服务人口2400人，属于地下水型水源地。目前，该水源地已</w:t>
      </w:r>
    </w:p>
    <w:p w14:paraId="3B6CC8B1">
      <w:pPr>
        <w:spacing w:before="33" w:line="220" w:lineRule="auto"/>
        <w:rPr>
          <w:rFonts w:ascii="宋体" w:hAnsi="宋体" w:eastAsia="宋体" w:cs="宋体"/>
          <w:sz w:val="24"/>
          <w:szCs w:val="24"/>
        </w:rPr>
      </w:pPr>
      <w:r>
        <w:rPr>
          <w:rFonts w:ascii="宋体" w:hAnsi="宋体" w:eastAsia="宋体" w:cs="宋体"/>
          <w:color w:val="307050"/>
          <w:spacing w:val="-3"/>
          <w:sz w:val="24"/>
          <w:szCs w:val="24"/>
        </w:rPr>
        <w:t>划分以及保护区和二级保护区。</w:t>
      </w:r>
    </w:p>
    <w:p w14:paraId="5EAEB3AD">
      <w:pPr>
        <w:spacing w:before="211" w:line="355" w:lineRule="auto"/>
        <w:ind w:right="1136" w:firstLine="489"/>
        <w:rPr>
          <w:rFonts w:ascii="宋体" w:hAnsi="宋体" w:eastAsia="宋体" w:cs="宋体"/>
          <w:sz w:val="24"/>
          <w:szCs w:val="24"/>
        </w:rPr>
      </w:pPr>
      <w:r>
        <w:rPr>
          <w:rFonts w:ascii="宋体" w:hAnsi="宋体" w:eastAsia="宋体" w:cs="宋体"/>
          <w:spacing w:val="1"/>
          <w:sz w:val="24"/>
          <w:szCs w:val="24"/>
        </w:rPr>
        <w:t>包头市石拐区集中式饮用水水源地定期对周边风险源进行巡查并定期开展</w:t>
      </w:r>
      <w:r>
        <w:rPr>
          <w:rFonts w:ascii="宋体" w:hAnsi="宋体" w:eastAsia="宋体" w:cs="宋体"/>
          <w:sz w:val="24"/>
          <w:szCs w:val="24"/>
        </w:rPr>
        <w:t xml:space="preserve">  </w:t>
      </w:r>
      <w:r>
        <w:rPr>
          <w:rFonts w:ascii="宋体" w:hAnsi="宋体" w:eastAsia="宋体" w:cs="宋体"/>
          <w:spacing w:val="-2"/>
          <w:sz w:val="24"/>
          <w:szCs w:val="24"/>
        </w:rPr>
        <w:t>专项检查，应急物资健全并建立了应急专家库，包头市生态环境局石拐区分局具</w:t>
      </w:r>
      <w:r>
        <w:rPr>
          <w:rFonts w:ascii="宋体" w:hAnsi="宋体" w:eastAsia="宋体" w:cs="宋体"/>
          <w:spacing w:val="12"/>
          <w:sz w:val="24"/>
          <w:szCs w:val="24"/>
        </w:rPr>
        <w:t xml:space="preserve"> </w:t>
      </w:r>
      <w:r>
        <w:rPr>
          <w:rFonts w:ascii="宋体" w:hAnsi="宋体" w:eastAsia="宋体" w:cs="宋体"/>
          <w:spacing w:val="-1"/>
          <w:sz w:val="24"/>
          <w:szCs w:val="24"/>
        </w:rPr>
        <w:t>备相应的应急监测能力。</w:t>
      </w:r>
      <w:r>
        <w:rPr>
          <w:rFonts w:ascii="宋体" w:hAnsi="宋体" w:eastAsia="宋体" w:cs="宋体"/>
          <w:color w:val="707070"/>
          <w:spacing w:val="-1"/>
          <w:sz w:val="24"/>
          <w:szCs w:val="24"/>
        </w:rPr>
        <w:t>由于沙明线穿越二级保护区，同时保护区范围内存在交</w:t>
      </w:r>
      <w:r>
        <w:rPr>
          <w:rFonts w:ascii="宋体" w:hAnsi="宋体" w:eastAsia="宋体" w:cs="宋体"/>
          <w:color w:val="707070"/>
          <w:spacing w:val="4"/>
          <w:sz w:val="24"/>
          <w:szCs w:val="24"/>
        </w:rPr>
        <w:t xml:space="preserve"> </w:t>
      </w:r>
      <w:r>
        <w:rPr>
          <w:rFonts w:ascii="宋体" w:hAnsi="宋体" w:eastAsia="宋体" w:cs="宋体"/>
          <w:spacing w:val="-6"/>
          <w:sz w:val="24"/>
          <w:szCs w:val="24"/>
        </w:rPr>
        <w:t>通道路，故仍需进一步完成相应的风险防范措施，确保水源地水质安全，</w:t>
      </w:r>
      <w:r>
        <w:rPr>
          <w:rFonts w:ascii="宋体" w:hAnsi="宋体" w:eastAsia="宋体" w:cs="宋体"/>
          <w:spacing w:val="-7"/>
          <w:sz w:val="24"/>
          <w:szCs w:val="24"/>
        </w:rPr>
        <w:t>保</w:t>
      </w:r>
      <w:r>
        <w:rPr>
          <w:rFonts w:ascii="宋体" w:hAnsi="宋体" w:eastAsia="宋体" w:cs="宋体"/>
          <w:spacing w:val="-38"/>
          <w:sz w:val="24"/>
          <w:szCs w:val="24"/>
        </w:rPr>
        <w:t xml:space="preserve"> </w:t>
      </w:r>
      <w:r>
        <w:rPr>
          <w:rFonts w:ascii="宋体" w:hAnsi="宋体" w:eastAsia="宋体" w:cs="宋体"/>
          <w:spacing w:val="-7"/>
          <w:sz w:val="24"/>
          <w:szCs w:val="24"/>
        </w:rPr>
        <w:t>障</w:t>
      </w:r>
      <w:r>
        <w:rPr>
          <w:rFonts w:ascii="宋体" w:hAnsi="宋体" w:eastAsia="宋体" w:cs="宋体"/>
          <w:spacing w:val="-50"/>
          <w:sz w:val="24"/>
          <w:szCs w:val="24"/>
        </w:rPr>
        <w:t xml:space="preserve"> </w:t>
      </w:r>
      <w:r>
        <w:rPr>
          <w:rFonts w:ascii="宋体" w:hAnsi="宋体" w:eastAsia="宋体" w:cs="宋体"/>
          <w:spacing w:val="-7"/>
          <w:sz w:val="24"/>
          <w:szCs w:val="24"/>
        </w:rPr>
        <w:t>群</w:t>
      </w:r>
      <w:r>
        <w:rPr>
          <w:rFonts w:ascii="宋体" w:hAnsi="宋体" w:eastAsia="宋体" w:cs="宋体"/>
          <w:sz w:val="24"/>
          <w:szCs w:val="24"/>
        </w:rPr>
        <w:t xml:space="preserve"> </w:t>
      </w:r>
      <w:r>
        <w:rPr>
          <w:rFonts w:ascii="宋体" w:hAnsi="宋体" w:eastAsia="宋体" w:cs="宋体"/>
          <w:spacing w:val="-7"/>
          <w:sz w:val="24"/>
          <w:szCs w:val="24"/>
        </w:rPr>
        <w:t>众饮水安全。</w:t>
      </w:r>
    </w:p>
    <w:p w14:paraId="46EFD665">
      <w:pPr>
        <w:spacing w:before="2" w:line="220" w:lineRule="auto"/>
        <w:ind w:left="3"/>
        <w:rPr>
          <w:rFonts w:ascii="宋体" w:hAnsi="宋体" w:eastAsia="宋体" w:cs="宋体"/>
          <w:sz w:val="24"/>
          <w:szCs w:val="24"/>
        </w:rPr>
      </w:pPr>
      <w:r>
        <w:rPr>
          <w:rFonts w:ascii="宋体" w:hAnsi="宋体" w:eastAsia="宋体" w:cs="宋体"/>
          <w:b/>
          <w:bCs/>
          <w:spacing w:val="-2"/>
          <w:sz w:val="24"/>
          <w:szCs w:val="24"/>
        </w:rPr>
        <w:t>7.2建议</w:t>
      </w:r>
    </w:p>
    <w:p w14:paraId="32C05082">
      <w:pPr>
        <w:spacing w:before="197" w:line="219" w:lineRule="auto"/>
        <w:ind w:left="489"/>
        <w:rPr>
          <w:rFonts w:ascii="宋体" w:hAnsi="宋体" w:eastAsia="宋体" w:cs="宋体"/>
          <w:sz w:val="24"/>
          <w:szCs w:val="24"/>
        </w:rPr>
      </w:pPr>
      <w:r>
        <w:rPr>
          <w:rFonts w:ascii="宋体" w:hAnsi="宋体" w:eastAsia="宋体" w:cs="宋体"/>
          <w:color w:val="707070"/>
          <w:spacing w:val="-3"/>
          <w:sz w:val="24"/>
          <w:szCs w:val="24"/>
        </w:rPr>
        <w:t>1、加强水源地水质监测，</w:t>
      </w:r>
      <w:r>
        <w:rPr>
          <w:rFonts w:ascii="宋体" w:hAnsi="宋体" w:eastAsia="宋体" w:cs="宋体"/>
          <w:spacing w:val="-3"/>
          <w:sz w:val="24"/>
          <w:szCs w:val="24"/>
        </w:rPr>
        <w:t>确保水质达标；</w:t>
      </w:r>
    </w:p>
    <w:p w14:paraId="784FB714">
      <w:pPr>
        <w:spacing w:before="184" w:line="287" w:lineRule="auto"/>
        <w:ind w:left="49" w:right="1164" w:firstLine="440"/>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、对与供水设施运行的关键控制指标、管理机构运行和环境管理状态加强</w:t>
      </w:r>
      <w:r>
        <w:rPr>
          <w:rFonts w:ascii="宋体" w:hAnsi="宋体" w:eastAsia="宋体" w:cs="宋体"/>
          <w:spacing w:val="18"/>
          <w:sz w:val="24"/>
          <w:szCs w:val="24"/>
        </w:rPr>
        <w:t xml:space="preserve"> </w:t>
      </w:r>
      <w:r>
        <w:rPr>
          <w:rFonts w:ascii="宋体" w:hAnsi="宋体" w:eastAsia="宋体" w:cs="宋体"/>
          <w:spacing w:val="-7"/>
          <w:sz w:val="24"/>
          <w:szCs w:val="24"/>
        </w:rPr>
        <w:t>日常巡查、监管；</w:t>
      </w:r>
    </w:p>
    <w:p w14:paraId="07453F2C">
      <w:pPr>
        <w:spacing w:before="204" w:line="283" w:lineRule="auto"/>
        <w:ind w:right="1166" w:firstLine="489"/>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、建议环保部门和交通管理部门加强饮用水水源地</w:t>
      </w:r>
      <w:r>
        <w:rPr>
          <w:rFonts w:ascii="宋体" w:hAnsi="宋体" w:eastAsia="宋体" w:cs="宋体"/>
          <w:sz w:val="24"/>
          <w:szCs w:val="24"/>
        </w:rPr>
        <w:t xml:space="preserve">周边道路管理，严格控 </w:t>
      </w:r>
      <w:r>
        <w:rPr>
          <w:rFonts w:ascii="宋体" w:hAnsi="宋体" w:eastAsia="宋体" w:cs="宋体"/>
          <w:spacing w:val="3"/>
          <w:sz w:val="24"/>
          <w:szCs w:val="24"/>
        </w:rPr>
        <w:t>制危险化学品运输车辆穿越水源地，完善实时监控设施；</w:t>
      </w:r>
    </w:p>
    <w:p w14:paraId="3D4E6B06">
      <w:pPr>
        <w:spacing w:before="183" w:line="218" w:lineRule="auto"/>
        <w:ind w:left="489"/>
        <w:rPr>
          <w:rFonts w:ascii="宋体" w:hAnsi="宋体" w:eastAsia="宋体" w:cs="宋体"/>
          <w:sz w:val="24"/>
          <w:szCs w:val="24"/>
        </w:rPr>
      </w:pPr>
      <w:r>
        <w:rPr>
          <w:rFonts w:ascii="宋体" w:hAnsi="宋体" w:eastAsia="宋体" w:cs="宋体"/>
          <w:spacing w:val="-1"/>
          <w:sz w:val="24"/>
          <w:szCs w:val="24"/>
        </w:rPr>
        <w:t>4、按照本报告的整改措施及计划落实相关工作。</w:t>
      </w:r>
    </w:p>
    <w:p w14:paraId="153CA241">
      <w:pPr>
        <w:spacing w:line="218" w:lineRule="auto"/>
        <w:rPr>
          <w:rFonts w:ascii="宋体" w:hAnsi="宋体" w:eastAsia="宋体" w:cs="宋体"/>
          <w:sz w:val="24"/>
          <w:szCs w:val="24"/>
        </w:rPr>
        <w:sectPr>
          <w:footerReference r:id="rId44" w:type="default"/>
          <w:pgSz w:w="11910" w:h="16850"/>
          <w:pgMar w:top="1074" w:right="653" w:bottom="1375" w:left="1750" w:header="0" w:footer="1213" w:gutter="0"/>
          <w:cols w:space="720" w:num="1"/>
        </w:sectPr>
      </w:pPr>
    </w:p>
    <w:tbl>
      <w:tblPr>
        <w:tblStyle w:val="5"/>
        <w:tblW w:w="8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4"/>
        <w:gridCol w:w="1288"/>
        <w:gridCol w:w="2567"/>
        <w:gridCol w:w="2247"/>
        <w:gridCol w:w="1283"/>
      </w:tblGrid>
      <w:tr w14:paraId="33463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4" w:type="dxa"/>
            <w:vAlign w:val="top"/>
          </w:tcPr>
          <w:p w14:paraId="2163B4D9">
            <w:pPr>
              <w:pStyle w:val="6"/>
              <w:spacing w:before="193" w:line="219" w:lineRule="auto"/>
              <w:ind w:left="315"/>
              <w:rPr>
                <w:sz w:val="24"/>
                <w:szCs w:val="24"/>
              </w:rPr>
            </w:pPr>
            <w:r>
              <w:rPr>
                <w:spacing w:val="6"/>
                <w:sz w:val="24"/>
                <w:szCs w:val="24"/>
              </w:rPr>
              <w:t>村庄</w:t>
            </w:r>
          </w:p>
        </w:tc>
        <w:tc>
          <w:tcPr>
            <w:tcW w:w="1288" w:type="dxa"/>
            <w:vMerge w:val="restart"/>
            <w:tcBorders>
              <w:bottom w:val="nil"/>
            </w:tcBorders>
            <w:vAlign w:val="top"/>
          </w:tcPr>
          <w:p w14:paraId="2F7E4563">
            <w:pPr>
              <w:rPr>
                <w:rFonts w:ascii="Arial"/>
                <w:sz w:val="21"/>
              </w:rPr>
            </w:pPr>
          </w:p>
        </w:tc>
        <w:tc>
          <w:tcPr>
            <w:tcW w:w="2567" w:type="dxa"/>
            <w:vAlign w:val="top"/>
          </w:tcPr>
          <w:p w14:paraId="56A72652">
            <w:pPr>
              <w:pStyle w:val="6"/>
              <w:spacing w:before="34" w:line="219" w:lineRule="auto"/>
              <w:ind w:left="573"/>
              <w:rPr>
                <w:sz w:val="24"/>
                <w:szCs w:val="24"/>
              </w:rPr>
            </w:pPr>
            <w:r>
              <w:rPr>
                <w:color w:val="405050"/>
                <w:spacing w:val="-2"/>
                <w:sz w:val="24"/>
                <w:szCs w:val="24"/>
              </w:rPr>
              <w:t>生活污水无处理</w:t>
            </w:r>
          </w:p>
          <w:p w14:paraId="343F4EBA">
            <w:pPr>
              <w:pStyle w:val="6"/>
              <w:spacing w:before="16" w:line="213" w:lineRule="auto"/>
              <w:ind w:left="113"/>
              <w:rPr>
                <w:sz w:val="24"/>
                <w:szCs w:val="24"/>
              </w:rPr>
            </w:pPr>
            <w:r>
              <w:rPr>
                <w:spacing w:val="-1"/>
                <w:sz w:val="24"/>
                <w:szCs w:val="24"/>
              </w:rPr>
              <w:t>设施。</w:t>
            </w:r>
          </w:p>
        </w:tc>
        <w:tc>
          <w:tcPr>
            <w:tcW w:w="2247" w:type="dxa"/>
            <w:vAlign w:val="top"/>
          </w:tcPr>
          <w:p w14:paraId="16396502">
            <w:pPr>
              <w:pStyle w:val="6"/>
              <w:spacing w:before="34" w:line="219" w:lineRule="auto"/>
              <w:ind w:left="595"/>
              <w:rPr>
                <w:sz w:val="24"/>
                <w:szCs w:val="24"/>
              </w:rPr>
            </w:pPr>
            <w:r>
              <w:rPr>
                <w:spacing w:val="1"/>
                <w:sz w:val="24"/>
                <w:szCs w:val="24"/>
              </w:rPr>
              <w:t>生活污水和垃</w:t>
            </w:r>
          </w:p>
          <w:p w14:paraId="16BE9EA6">
            <w:pPr>
              <w:pStyle w:val="6"/>
              <w:spacing w:before="45" w:line="191" w:lineRule="auto"/>
              <w:ind w:left="125"/>
              <w:rPr>
                <w:sz w:val="24"/>
                <w:szCs w:val="24"/>
              </w:rPr>
            </w:pPr>
            <w:r>
              <w:rPr>
                <w:color w:val="506060"/>
                <w:spacing w:val="-1"/>
                <w:sz w:val="24"/>
                <w:szCs w:val="24"/>
              </w:rPr>
              <w:t>圾进行收集处理。</w:t>
            </w:r>
          </w:p>
        </w:tc>
        <w:tc>
          <w:tcPr>
            <w:tcW w:w="1283" w:type="dxa"/>
            <w:vMerge w:val="restart"/>
            <w:tcBorders>
              <w:bottom w:val="nil"/>
            </w:tcBorders>
            <w:vAlign w:val="top"/>
          </w:tcPr>
          <w:p w14:paraId="14C91306">
            <w:pPr>
              <w:spacing w:line="265" w:lineRule="auto"/>
              <w:rPr>
                <w:rFonts w:ascii="Arial"/>
                <w:sz w:val="21"/>
              </w:rPr>
            </w:pPr>
          </w:p>
          <w:p w14:paraId="25B721C8">
            <w:pPr>
              <w:spacing w:line="265" w:lineRule="auto"/>
              <w:rPr>
                <w:rFonts w:ascii="Arial"/>
                <w:sz w:val="21"/>
              </w:rPr>
            </w:pPr>
          </w:p>
          <w:p w14:paraId="38A1115A">
            <w:pPr>
              <w:spacing w:line="265" w:lineRule="auto"/>
              <w:rPr>
                <w:rFonts w:ascii="Arial"/>
                <w:sz w:val="21"/>
              </w:rPr>
            </w:pPr>
          </w:p>
          <w:p w14:paraId="47555245">
            <w:pPr>
              <w:spacing w:line="266" w:lineRule="auto"/>
              <w:rPr>
                <w:rFonts w:ascii="Arial"/>
                <w:sz w:val="21"/>
              </w:rPr>
            </w:pPr>
          </w:p>
          <w:p w14:paraId="2837C1C2">
            <w:pPr>
              <w:spacing w:line="266" w:lineRule="auto"/>
              <w:rPr>
                <w:rFonts w:ascii="Arial"/>
                <w:sz w:val="21"/>
              </w:rPr>
            </w:pPr>
          </w:p>
          <w:p w14:paraId="53C334DA">
            <w:pPr>
              <w:spacing w:line="266" w:lineRule="auto"/>
              <w:rPr>
                <w:rFonts w:ascii="Arial"/>
                <w:sz w:val="21"/>
              </w:rPr>
            </w:pPr>
          </w:p>
          <w:p w14:paraId="387E0204">
            <w:pPr>
              <w:spacing w:line="266" w:lineRule="auto"/>
              <w:rPr>
                <w:rFonts w:ascii="Arial"/>
                <w:sz w:val="21"/>
              </w:rPr>
            </w:pPr>
          </w:p>
          <w:p w14:paraId="3CE86BB9">
            <w:pPr>
              <w:pStyle w:val="6"/>
              <w:spacing w:before="78" w:line="239" w:lineRule="auto"/>
              <w:ind w:left="198"/>
              <w:rPr>
                <w:sz w:val="24"/>
                <w:szCs w:val="24"/>
              </w:rPr>
            </w:pPr>
            <w:r>
              <w:rPr>
                <w:spacing w:val="-2"/>
                <w:sz w:val="24"/>
                <w:szCs w:val="24"/>
              </w:rPr>
              <w:t>2020.12</w:t>
            </w:r>
          </w:p>
        </w:tc>
      </w:tr>
      <w:tr w14:paraId="4EB99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4" w:hRule="atLeast"/>
        </w:trPr>
        <w:tc>
          <w:tcPr>
            <w:tcW w:w="1124" w:type="dxa"/>
            <w:vAlign w:val="top"/>
          </w:tcPr>
          <w:p w14:paraId="0B14CF0B">
            <w:pPr>
              <w:spacing w:line="286" w:lineRule="auto"/>
              <w:rPr>
                <w:rFonts w:ascii="Arial"/>
                <w:sz w:val="21"/>
              </w:rPr>
            </w:pPr>
          </w:p>
          <w:p w14:paraId="2A16B697">
            <w:pPr>
              <w:spacing w:line="287" w:lineRule="auto"/>
              <w:rPr>
                <w:rFonts w:ascii="Arial"/>
                <w:sz w:val="21"/>
              </w:rPr>
            </w:pPr>
          </w:p>
          <w:p w14:paraId="5C57E6DA">
            <w:pPr>
              <w:pStyle w:val="6"/>
              <w:spacing w:before="78" w:line="221" w:lineRule="auto"/>
              <w:ind w:left="194"/>
              <w:rPr>
                <w:sz w:val="24"/>
                <w:szCs w:val="24"/>
              </w:rPr>
            </w:pPr>
            <w:r>
              <w:rPr>
                <w:spacing w:val="4"/>
                <w:sz w:val="24"/>
                <w:szCs w:val="24"/>
              </w:rPr>
              <w:t>县级及</w:t>
            </w:r>
          </w:p>
          <w:p w14:paraId="489D877B">
            <w:pPr>
              <w:pStyle w:val="6"/>
              <w:spacing w:before="23" w:line="245" w:lineRule="auto"/>
              <w:ind w:left="433" w:right="184" w:hanging="239"/>
              <w:rPr>
                <w:sz w:val="24"/>
                <w:szCs w:val="24"/>
              </w:rPr>
            </w:pPr>
            <w:r>
              <w:rPr>
                <w:spacing w:val="4"/>
                <w:sz w:val="24"/>
                <w:szCs w:val="24"/>
              </w:rPr>
              <w:t>以上公</w:t>
            </w:r>
            <w:r>
              <w:rPr>
                <w:spacing w:val="1"/>
                <w:sz w:val="24"/>
                <w:szCs w:val="24"/>
              </w:rPr>
              <w:t xml:space="preserve"> </w:t>
            </w:r>
            <w:r>
              <w:rPr>
                <w:sz w:val="24"/>
                <w:szCs w:val="24"/>
              </w:rPr>
              <w:t>路</w:t>
            </w:r>
          </w:p>
        </w:tc>
        <w:tc>
          <w:tcPr>
            <w:tcW w:w="1288" w:type="dxa"/>
            <w:vMerge w:val="continue"/>
            <w:tcBorders>
              <w:top w:val="nil"/>
              <w:bottom w:val="nil"/>
            </w:tcBorders>
            <w:vAlign w:val="top"/>
          </w:tcPr>
          <w:p w14:paraId="4F0E4B1D">
            <w:pPr>
              <w:rPr>
                <w:rFonts w:ascii="Arial"/>
                <w:sz w:val="21"/>
              </w:rPr>
            </w:pPr>
          </w:p>
        </w:tc>
        <w:tc>
          <w:tcPr>
            <w:tcW w:w="2567" w:type="dxa"/>
            <w:vMerge w:val="restart"/>
            <w:tcBorders>
              <w:bottom w:val="nil"/>
            </w:tcBorders>
            <w:vAlign w:val="top"/>
          </w:tcPr>
          <w:p w14:paraId="603B6D63">
            <w:pPr>
              <w:spacing w:line="252" w:lineRule="auto"/>
              <w:rPr>
                <w:rFonts w:ascii="Arial"/>
                <w:sz w:val="21"/>
              </w:rPr>
            </w:pPr>
          </w:p>
          <w:p w14:paraId="154B0A36">
            <w:pPr>
              <w:spacing w:line="252" w:lineRule="auto"/>
              <w:rPr>
                <w:rFonts w:ascii="Arial"/>
                <w:sz w:val="21"/>
              </w:rPr>
            </w:pPr>
          </w:p>
          <w:p w14:paraId="3EE493EF">
            <w:pPr>
              <w:spacing w:line="252" w:lineRule="auto"/>
              <w:rPr>
                <w:rFonts w:ascii="Arial"/>
                <w:sz w:val="21"/>
              </w:rPr>
            </w:pPr>
          </w:p>
          <w:p w14:paraId="01A7DD29">
            <w:pPr>
              <w:spacing w:line="253" w:lineRule="auto"/>
              <w:rPr>
                <w:rFonts w:ascii="Arial"/>
                <w:sz w:val="21"/>
              </w:rPr>
            </w:pPr>
          </w:p>
          <w:p w14:paraId="4E210B92">
            <w:pPr>
              <w:spacing w:line="253" w:lineRule="auto"/>
              <w:rPr>
                <w:rFonts w:ascii="Arial"/>
                <w:sz w:val="21"/>
              </w:rPr>
            </w:pPr>
          </w:p>
          <w:p w14:paraId="682203A5">
            <w:pPr>
              <w:spacing w:line="253" w:lineRule="auto"/>
              <w:rPr>
                <w:rFonts w:ascii="Arial"/>
                <w:sz w:val="21"/>
              </w:rPr>
            </w:pPr>
          </w:p>
          <w:p w14:paraId="3782545B">
            <w:pPr>
              <w:pStyle w:val="6"/>
              <w:spacing w:before="78" w:line="220" w:lineRule="auto"/>
              <w:ind w:left="573"/>
              <w:rPr>
                <w:sz w:val="24"/>
                <w:szCs w:val="24"/>
              </w:rPr>
            </w:pPr>
            <w:r>
              <w:rPr>
                <w:spacing w:val="2"/>
                <w:sz w:val="24"/>
                <w:szCs w:val="24"/>
              </w:rPr>
              <w:t>穿越二级保护区</w:t>
            </w:r>
          </w:p>
        </w:tc>
        <w:tc>
          <w:tcPr>
            <w:tcW w:w="2247" w:type="dxa"/>
            <w:vAlign w:val="top"/>
          </w:tcPr>
          <w:p w14:paraId="544AC8B1">
            <w:pPr>
              <w:pStyle w:val="6"/>
              <w:spacing w:before="31" w:line="219" w:lineRule="auto"/>
              <w:ind w:left="585"/>
              <w:rPr>
                <w:sz w:val="24"/>
                <w:szCs w:val="24"/>
              </w:rPr>
            </w:pPr>
            <w:r>
              <w:rPr>
                <w:spacing w:val="2"/>
                <w:sz w:val="24"/>
                <w:szCs w:val="24"/>
              </w:rPr>
              <w:t>严格限制有毒</w:t>
            </w:r>
          </w:p>
          <w:p w14:paraId="124C1BB1">
            <w:pPr>
              <w:pStyle w:val="6"/>
              <w:spacing w:before="35" w:line="220" w:lineRule="auto"/>
              <w:ind w:left="125"/>
              <w:rPr>
                <w:sz w:val="24"/>
                <w:szCs w:val="24"/>
              </w:rPr>
            </w:pPr>
            <w:r>
              <w:rPr>
                <w:color w:val="506060"/>
                <w:spacing w:val="1"/>
                <w:sz w:val="24"/>
                <w:szCs w:val="24"/>
              </w:rPr>
              <w:t>有害物质和危险化</w:t>
            </w:r>
          </w:p>
          <w:p w14:paraId="6E62F0A9">
            <w:pPr>
              <w:pStyle w:val="6"/>
              <w:spacing w:before="11" w:line="239" w:lineRule="auto"/>
              <w:ind w:left="105" w:right="187" w:firstLine="10"/>
              <w:jc w:val="both"/>
              <w:rPr>
                <w:sz w:val="24"/>
                <w:szCs w:val="24"/>
              </w:rPr>
            </w:pPr>
            <w:r>
              <w:rPr>
                <w:color w:val="505050"/>
                <w:spacing w:val="1"/>
                <w:sz w:val="24"/>
                <w:szCs w:val="24"/>
              </w:rPr>
              <w:t>学品的运输，</w:t>
            </w:r>
            <w:r>
              <w:rPr>
                <w:spacing w:val="1"/>
                <w:sz w:val="24"/>
                <w:szCs w:val="24"/>
              </w:rPr>
              <w:t>开展</w:t>
            </w:r>
            <w:r>
              <w:rPr>
                <w:spacing w:val="4"/>
                <w:sz w:val="24"/>
                <w:szCs w:val="24"/>
              </w:rPr>
              <w:t xml:space="preserve"> </w:t>
            </w:r>
            <w:r>
              <w:rPr>
                <w:spacing w:val="2"/>
                <w:sz w:val="24"/>
                <w:szCs w:val="24"/>
              </w:rPr>
              <w:t>视频监控，路两侧</w:t>
            </w:r>
            <w:r>
              <w:rPr>
                <w:sz w:val="24"/>
                <w:szCs w:val="24"/>
              </w:rPr>
              <w:t xml:space="preserve"> </w:t>
            </w:r>
            <w:r>
              <w:rPr>
                <w:color w:val="405050"/>
                <w:sz w:val="24"/>
                <w:szCs w:val="24"/>
              </w:rPr>
              <w:t>建设防撞栏、</w:t>
            </w:r>
            <w:r>
              <w:rPr>
                <w:sz w:val="24"/>
                <w:szCs w:val="24"/>
              </w:rPr>
              <w:t xml:space="preserve">桥面 </w:t>
            </w:r>
            <w:r>
              <w:rPr>
                <w:spacing w:val="-2"/>
                <w:sz w:val="24"/>
                <w:szCs w:val="24"/>
              </w:rPr>
              <w:t>径流收集系统等应</w:t>
            </w:r>
          </w:p>
          <w:p w14:paraId="02D07EA2">
            <w:pPr>
              <w:pStyle w:val="6"/>
              <w:spacing w:line="201" w:lineRule="auto"/>
              <w:ind w:left="105"/>
              <w:rPr>
                <w:sz w:val="24"/>
                <w:szCs w:val="24"/>
              </w:rPr>
            </w:pPr>
            <w:r>
              <w:rPr>
                <w:color w:val="405050"/>
                <w:spacing w:val="-1"/>
                <w:sz w:val="24"/>
                <w:szCs w:val="24"/>
              </w:rPr>
              <w:t>急防护工程设施。</w:t>
            </w:r>
          </w:p>
        </w:tc>
        <w:tc>
          <w:tcPr>
            <w:tcW w:w="1283" w:type="dxa"/>
            <w:vMerge w:val="continue"/>
            <w:tcBorders>
              <w:top w:val="nil"/>
              <w:bottom w:val="nil"/>
            </w:tcBorders>
            <w:vAlign w:val="top"/>
          </w:tcPr>
          <w:p w14:paraId="46034048">
            <w:pPr>
              <w:rPr>
                <w:rFonts w:ascii="Arial"/>
                <w:sz w:val="21"/>
              </w:rPr>
            </w:pPr>
          </w:p>
        </w:tc>
      </w:tr>
      <w:tr w14:paraId="22639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1124" w:type="dxa"/>
            <w:vAlign w:val="top"/>
          </w:tcPr>
          <w:p w14:paraId="5B23ED74">
            <w:pPr>
              <w:pStyle w:val="6"/>
              <w:spacing w:before="201" w:line="221" w:lineRule="auto"/>
              <w:ind w:left="194"/>
              <w:rPr>
                <w:sz w:val="24"/>
                <w:szCs w:val="24"/>
              </w:rPr>
            </w:pPr>
            <w:r>
              <w:rPr>
                <w:spacing w:val="4"/>
                <w:sz w:val="24"/>
                <w:szCs w:val="24"/>
              </w:rPr>
              <w:t>乡级及</w:t>
            </w:r>
          </w:p>
          <w:p w14:paraId="2829B258">
            <w:pPr>
              <w:pStyle w:val="6"/>
              <w:spacing w:before="20" w:line="247" w:lineRule="auto"/>
              <w:ind w:left="433" w:right="187" w:hanging="239"/>
              <w:rPr>
                <w:sz w:val="24"/>
                <w:szCs w:val="24"/>
              </w:rPr>
            </w:pPr>
            <w:r>
              <w:rPr>
                <w:spacing w:val="3"/>
                <w:sz w:val="24"/>
                <w:szCs w:val="24"/>
              </w:rPr>
              <w:t>以下道</w:t>
            </w:r>
            <w:r>
              <w:rPr>
                <w:spacing w:val="1"/>
                <w:sz w:val="24"/>
                <w:szCs w:val="24"/>
              </w:rPr>
              <w:t xml:space="preserve"> </w:t>
            </w:r>
            <w:r>
              <w:rPr>
                <w:sz w:val="24"/>
                <w:szCs w:val="24"/>
              </w:rPr>
              <w:t>路</w:t>
            </w:r>
          </w:p>
        </w:tc>
        <w:tc>
          <w:tcPr>
            <w:tcW w:w="1288" w:type="dxa"/>
            <w:vMerge w:val="continue"/>
            <w:tcBorders>
              <w:top w:val="nil"/>
            </w:tcBorders>
            <w:vAlign w:val="top"/>
          </w:tcPr>
          <w:p w14:paraId="6FF976C8">
            <w:pPr>
              <w:rPr>
                <w:rFonts w:ascii="Arial"/>
                <w:sz w:val="21"/>
              </w:rPr>
            </w:pPr>
          </w:p>
        </w:tc>
        <w:tc>
          <w:tcPr>
            <w:tcW w:w="2567" w:type="dxa"/>
            <w:vMerge w:val="continue"/>
            <w:tcBorders>
              <w:top w:val="nil"/>
            </w:tcBorders>
            <w:vAlign w:val="top"/>
          </w:tcPr>
          <w:p w14:paraId="151E78FA">
            <w:pPr>
              <w:rPr>
                <w:rFonts w:ascii="Arial"/>
                <w:sz w:val="21"/>
              </w:rPr>
            </w:pPr>
          </w:p>
        </w:tc>
        <w:tc>
          <w:tcPr>
            <w:tcW w:w="2247" w:type="dxa"/>
            <w:vAlign w:val="top"/>
          </w:tcPr>
          <w:p w14:paraId="3FE74F9F">
            <w:pPr>
              <w:pStyle w:val="6"/>
              <w:spacing w:before="57" w:line="219" w:lineRule="auto"/>
              <w:ind w:left="595"/>
              <w:rPr>
                <w:sz w:val="24"/>
                <w:szCs w:val="24"/>
              </w:rPr>
            </w:pPr>
            <w:r>
              <w:rPr>
                <w:color w:val="404050"/>
                <w:spacing w:val="4"/>
                <w:sz w:val="24"/>
                <w:szCs w:val="24"/>
              </w:rPr>
              <w:t>应做好与饮用</w:t>
            </w:r>
          </w:p>
          <w:p w14:paraId="10973242">
            <w:pPr>
              <w:pStyle w:val="6"/>
              <w:spacing w:before="35" w:line="219" w:lineRule="auto"/>
              <w:ind w:left="115"/>
              <w:rPr>
                <w:sz w:val="24"/>
                <w:szCs w:val="24"/>
              </w:rPr>
            </w:pPr>
            <w:r>
              <w:rPr>
                <w:spacing w:val="1"/>
                <w:sz w:val="24"/>
                <w:szCs w:val="24"/>
              </w:rPr>
              <w:t>水水体的隔离防</w:t>
            </w:r>
          </w:p>
          <w:p w14:paraId="7312834F">
            <w:pPr>
              <w:pStyle w:val="6"/>
              <w:spacing w:before="4" w:line="225" w:lineRule="auto"/>
              <w:ind w:left="95" w:right="194" w:firstLine="10"/>
              <w:rPr>
                <w:sz w:val="24"/>
                <w:szCs w:val="24"/>
              </w:rPr>
            </w:pPr>
            <w:r>
              <w:rPr>
                <w:spacing w:val="2"/>
                <w:sz w:val="24"/>
                <w:szCs w:val="24"/>
              </w:rPr>
              <w:t>护，避免人类活动</w:t>
            </w:r>
            <w:r>
              <w:rPr>
                <w:sz w:val="24"/>
                <w:szCs w:val="24"/>
              </w:rPr>
              <w:t xml:space="preserve"> 对水质的影响。</w:t>
            </w:r>
          </w:p>
        </w:tc>
        <w:tc>
          <w:tcPr>
            <w:tcW w:w="1283" w:type="dxa"/>
            <w:vMerge w:val="continue"/>
            <w:tcBorders>
              <w:top w:val="nil"/>
            </w:tcBorders>
            <w:vAlign w:val="top"/>
          </w:tcPr>
          <w:p w14:paraId="7C3C7A84">
            <w:pPr>
              <w:rPr>
                <w:rFonts w:ascii="Arial"/>
                <w:sz w:val="21"/>
              </w:rPr>
            </w:pPr>
          </w:p>
        </w:tc>
      </w:tr>
    </w:tbl>
    <w:p w14:paraId="5B4B9832">
      <w:pPr>
        <w:spacing w:before="144" w:line="220" w:lineRule="auto"/>
        <w:ind w:left="75"/>
        <w:rPr>
          <w:rFonts w:ascii="宋体" w:hAnsi="宋体" w:eastAsia="宋体" w:cs="宋体"/>
          <w:sz w:val="31"/>
          <w:szCs w:val="31"/>
        </w:rPr>
      </w:pPr>
      <w:r>
        <w:rPr>
          <w:rFonts w:ascii="宋体" w:hAnsi="宋体" w:eastAsia="宋体" w:cs="宋体"/>
          <w:spacing w:val="-8"/>
          <w:sz w:val="31"/>
          <w:szCs w:val="31"/>
        </w:rPr>
        <w:t>6、</w:t>
      </w:r>
      <w:r>
        <w:rPr>
          <w:rFonts w:ascii="宋体" w:hAnsi="宋体" w:eastAsia="宋体" w:cs="宋体"/>
          <w:b/>
          <w:bCs/>
          <w:spacing w:val="-8"/>
          <w:sz w:val="31"/>
          <w:szCs w:val="31"/>
        </w:rPr>
        <w:t>应急预案衔接</w:t>
      </w:r>
    </w:p>
    <w:p w14:paraId="32C065A6">
      <w:pPr>
        <w:spacing w:before="232" w:line="355" w:lineRule="auto"/>
        <w:ind w:left="75" w:right="34" w:firstLine="489"/>
        <w:jc w:val="both"/>
        <w:rPr>
          <w:rFonts w:ascii="宋体" w:hAnsi="宋体" w:eastAsia="宋体" w:cs="宋体"/>
          <w:sz w:val="24"/>
          <w:szCs w:val="24"/>
        </w:rPr>
      </w:pPr>
      <w:r>
        <w:rPr>
          <w:rFonts w:ascii="宋体" w:hAnsi="宋体" w:eastAsia="宋体" w:cs="宋体"/>
          <w:spacing w:val="-3"/>
          <w:sz w:val="24"/>
          <w:szCs w:val="24"/>
        </w:rPr>
        <w:t>本预案实施主体为包头市石拐区人民政府，在上级预案的统一规范下，与各</w:t>
      </w:r>
      <w:r>
        <w:rPr>
          <w:rFonts w:ascii="宋体" w:hAnsi="宋体" w:eastAsia="宋体" w:cs="宋体"/>
          <w:spacing w:val="9"/>
          <w:sz w:val="24"/>
          <w:szCs w:val="24"/>
        </w:rPr>
        <w:t xml:space="preserve"> </w:t>
      </w:r>
      <w:r>
        <w:rPr>
          <w:rFonts w:ascii="宋体" w:hAnsi="宋体" w:eastAsia="宋体" w:cs="宋体"/>
          <w:color w:val="607070"/>
          <w:spacing w:val="-2"/>
          <w:sz w:val="24"/>
          <w:szCs w:val="24"/>
        </w:rPr>
        <w:t>单位的突发环境事件应急预案联动发挥效能，</w:t>
      </w:r>
      <w:r>
        <w:rPr>
          <w:rFonts w:ascii="宋体" w:hAnsi="宋体" w:eastAsia="宋体" w:cs="宋体"/>
          <w:spacing w:val="-2"/>
          <w:sz w:val="24"/>
          <w:szCs w:val="24"/>
        </w:rPr>
        <w:t>指导全区集中</w:t>
      </w:r>
      <w:r>
        <w:rPr>
          <w:rFonts w:ascii="宋体" w:hAnsi="宋体" w:eastAsia="宋体" w:cs="宋体"/>
          <w:spacing w:val="-3"/>
          <w:sz w:val="24"/>
          <w:szCs w:val="24"/>
        </w:rPr>
        <w:t>式饮用水源地突发环</w:t>
      </w:r>
      <w:r>
        <w:rPr>
          <w:rFonts w:ascii="宋体" w:hAnsi="宋体" w:eastAsia="宋体" w:cs="宋体"/>
          <w:sz w:val="24"/>
          <w:szCs w:val="24"/>
        </w:rPr>
        <w:t xml:space="preserve"> </w:t>
      </w:r>
      <w:r>
        <w:rPr>
          <w:rFonts w:ascii="宋体" w:hAnsi="宋体" w:eastAsia="宋体" w:cs="宋体"/>
          <w:spacing w:val="-2"/>
          <w:sz w:val="24"/>
          <w:szCs w:val="24"/>
        </w:rPr>
        <w:t>境事件的应对工作。当集中式饮用水源地发生突发环境事件时，应</w:t>
      </w:r>
      <w:r>
        <w:rPr>
          <w:rFonts w:ascii="宋体" w:hAnsi="宋体" w:eastAsia="宋体" w:cs="宋体"/>
          <w:spacing w:val="-3"/>
          <w:sz w:val="24"/>
          <w:szCs w:val="24"/>
        </w:rPr>
        <w:t>按事件的危害</w:t>
      </w:r>
      <w:r>
        <w:rPr>
          <w:rFonts w:ascii="宋体" w:hAnsi="宋体" w:eastAsia="宋体" w:cs="宋体"/>
          <w:sz w:val="24"/>
          <w:szCs w:val="24"/>
        </w:rPr>
        <w:t xml:space="preserve"> </w:t>
      </w:r>
      <w:r>
        <w:rPr>
          <w:rFonts w:ascii="宋体" w:hAnsi="宋体" w:eastAsia="宋体" w:cs="宋体"/>
          <w:spacing w:val="-6"/>
          <w:sz w:val="24"/>
          <w:szCs w:val="24"/>
        </w:rPr>
        <w:t>性及影响范围，根据本预案的要求，同时结合</w:t>
      </w:r>
      <w:r>
        <w:rPr>
          <w:rFonts w:ascii="宋体" w:hAnsi="宋体" w:eastAsia="宋体" w:cs="宋体"/>
          <w:spacing w:val="-7"/>
          <w:sz w:val="24"/>
          <w:szCs w:val="24"/>
        </w:rPr>
        <w:t>《包头市突发环境事件应急预案》、</w:t>
      </w:r>
      <w:r>
        <w:rPr>
          <w:rFonts w:ascii="宋体" w:hAnsi="宋体" w:eastAsia="宋体" w:cs="宋体"/>
          <w:sz w:val="24"/>
          <w:szCs w:val="24"/>
        </w:rPr>
        <w:t xml:space="preserve"> </w:t>
      </w:r>
      <w:r>
        <w:rPr>
          <w:rFonts w:ascii="宋体" w:hAnsi="宋体" w:eastAsia="宋体" w:cs="宋体"/>
          <w:spacing w:val="-3"/>
          <w:sz w:val="24"/>
          <w:szCs w:val="24"/>
        </w:rPr>
        <w:t>《包头市石拐区突发环境事件应急预案》、《包头市突发公共事件医疗救援应急</w:t>
      </w:r>
      <w:r>
        <w:rPr>
          <w:rFonts w:ascii="宋体" w:hAnsi="宋体" w:eastAsia="宋体" w:cs="宋体"/>
          <w:spacing w:val="6"/>
          <w:sz w:val="24"/>
          <w:szCs w:val="24"/>
        </w:rPr>
        <w:t xml:space="preserve">  </w:t>
      </w:r>
      <w:r>
        <w:rPr>
          <w:rFonts w:ascii="宋体" w:hAnsi="宋体" w:eastAsia="宋体" w:cs="宋体"/>
          <w:spacing w:val="-2"/>
          <w:sz w:val="24"/>
          <w:szCs w:val="24"/>
        </w:rPr>
        <w:t>预案》和生产经营单位突发环境事件应急预案，以及涉</w:t>
      </w:r>
      <w:r>
        <w:rPr>
          <w:rFonts w:ascii="宋体" w:hAnsi="宋体" w:eastAsia="宋体" w:cs="宋体"/>
          <w:spacing w:val="-3"/>
          <w:sz w:val="24"/>
          <w:szCs w:val="24"/>
        </w:rPr>
        <w:t>事的邻近区域的突发环境</w:t>
      </w:r>
      <w:r>
        <w:rPr>
          <w:rFonts w:ascii="宋体" w:hAnsi="宋体" w:eastAsia="宋体" w:cs="宋体"/>
          <w:sz w:val="24"/>
          <w:szCs w:val="24"/>
        </w:rPr>
        <w:t xml:space="preserve"> </w:t>
      </w:r>
      <w:r>
        <w:rPr>
          <w:rFonts w:ascii="宋体" w:hAnsi="宋体" w:eastAsia="宋体" w:cs="宋体"/>
          <w:spacing w:val="-2"/>
          <w:sz w:val="24"/>
          <w:szCs w:val="24"/>
        </w:rPr>
        <w:t>事件应急预案。包头市石拐区集中式饮用水水源地发生突发事件需及时</w:t>
      </w:r>
      <w:r>
        <w:rPr>
          <w:rFonts w:ascii="宋体" w:hAnsi="宋体" w:eastAsia="宋体" w:cs="宋体"/>
          <w:spacing w:val="-3"/>
          <w:sz w:val="24"/>
          <w:szCs w:val="24"/>
        </w:rPr>
        <w:t>上报石拐</w:t>
      </w:r>
      <w:r>
        <w:rPr>
          <w:rFonts w:ascii="宋体" w:hAnsi="宋体" w:eastAsia="宋体" w:cs="宋体"/>
          <w:sz w:val="24"/>
          <w:szCs w:val="24"/>
        </w:rPr>
        <w:t xml:space="preserve"> </w:t>
      </w:r>
      <w:r>
        <w:rPr>
          <w:rFonts w:ascii="宋体" w:hAnsi="宋体" w:eastAsia="宋体" w:cs="宋体"/>
          <w:spacing w:val="-2"/>
          <w:sz w:val="24"/>
          <w:szCs w:val="24"/>
        </w:rPr>
        <w:t>区人民政府，当事件超出石拐区人民政府应对突发环境事</w:t>
      </w:r>
      <w:r>
        <w:rPr>
          <w:rFonts w:ascii="宋体" w:hAnsi="宋体" w:eastAsia="宋体" w:cs="宋体"/>
          <w:spacing w:val="-3"/>
          <w:sz w:val="24"/>
          <w:szCs w:val="24"/>
        </w:rPr>
        <w:t>件处置能力时，上报包</w:t>
      </w:r>
      <w:r>
        <w:rPr>
          <w:rFonts w:ascii="宋体" w:hAnsi="宋体" w:eastAsia="宋体" w:cs="宋体"/>
          <w:sz w:val="24"/>
          <w:szCs w:val="24"/>
        </w:rPr>
        <w:t xml:space="preserve"> </w:t>
      </w:r>
      <w:r>
        <w:rPr>
          <w:rFonts w:ascii="宋体" w:hAnsi="宋体" w:eastAsia="宋体" w:cs="宋体"/>
          <w:spacing w:val="-2"/>
          <w:sz w:val="24"/>
          <w:szCs w:val="24"/>
        </w:rPr>
        <w:t>头市人民政府，由包头市人民政府统一指挥。</w:t>
      </w:r>
    </w:p>
    <w:p w14:paraId="1693D859">
      <w:pPr>
        <w:spacing w:line="355" w:lineRule="auto"/>
        <w:rPr>
          <w:rFonts w:ascii="宋体" w:hAnsi="宋体" w:eastAsia="宋体" w:cs="宋体"/>
          <w:sz w:val="24"/>
          <w:szCs w:val="24"/>
        </w:rPr>
        <w:sectPr>
          <w:footerReference r:id="rId45" w:type="default"/>
          <w:pgSz w:w="11910" w:h="16850"/>
          <w:pgMar w:top="1315" w:right="1735" w:bottom="1523" w:left="1655" w:header="0" w:footer="1361" w:gutter="0"/>
          <w:cols w:space="720" w:num="1"/>
        </w:sectPr>
      </w:pPr>
    </w:p>
    <w:p w14:paraId="4AFF1436">
      <w:pPr>
        <w:spacing w:line="52" w:lineRule="exact"/>
      </w:pPr>
    </w:p>
    <w:tbl>
      <w:tblPr>
        <w:tblStyle w:val="5"/>
        <w:tblW w:w="86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278"/>
        <w:gridCol w:w="2397"/>
        <w:gridCol w:w="929"/>
        <w:gridCol w:w="1858"/>
        <w:gridCol w:w="1074"/>
      </w:tblGrid>
      <w:tr w14:paraId="204EC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073" w:type="dxa"/>
            <w:vAlign w:val="top"/>
          </w:tcPr>
          <w:p w14:paraId="046A53AD">
            <w:pPr>
              <w:pStyle w:val="6"/>
              <w:spacing w:before="62" w:line="221" w:lineRule="auto"/>
              <w:ind w:left="168"/>
              <w:rPr>
                <w:sz w:val="24"/>
                <w:szCs w:val="24"/>
              </w:rPr>
            </w:pPr>
            <w:r>
              <w:rPr>
                <w:b/>
                <w:bCs/>
                <w:color w:val="606060"/>
                <w:spacing w:val="-5"/>
                <w:sz w:val="24"/>
                <w:szCs w:val="24"/>
              </w:rPr>
              <w:t>应急物</w:t>
            </w:r>
          </w:p>
          <w:p w14:paraId="2A498023">
            <w:pPr>
              <w:pStyle w:val="6"/>
              <w:spacing w:before="42" w:line="221" w:lineRule="auto"/>
              <w:ind w:left="408"/>
              <w:rPr>
                <w:sz w:val="24"/>
                <w:szCs w:val="24"/>
              </w:rPr>
            </w:pPr>
            <w:r>
              <w:rPr>
                <w:b/>
                <w:bCs/>
                <w:spacing w:val="-3"/>
                <w:sz w:val="24"/>
                <w:szCs w:val="24"/>
              </w:rPr>
              <w:t>资</w:t>
            </w:r>
          </w:p>
        </w:tc>
        <w:tc>
          <w:tcPr>
            <w:tcW w:w="1278" w:type="dxa"/>
            <w:vAlign w:val="top"/>
          </w:tcPr>
          <w:p w14:paraId="5C9123D2">
            <w:pPr>
              <w:pStyle w:val="6"/>
              <w:spacing w:before="241" w:line="219" w:lineRule="auto"/>
              <w:ind w:left="395"/>
              <w:rPr>
                <w:sz w:val="24"/>
                <w:szCs w:val="24"/>
              </w:rPr>
            </w:pPr>
            <w:r>
              <w:rPr>
                <w:b/>
                <w:bCs/>
                <w:color w:val="506050"/>
                <w:spacing w:val="-8"/>
                <w:sz w:val="24"/>
                <w:szCs w:val="24"/>
              </w:rPr>
              <w:t>种</w:t>
            </w:r>
            <w:r>
              <w:rPr>
                <w:b/>
                <w:bCs/>
                <w:color w:val="505050"/>
                <w:spacing w:val="-8"/>
                <w:sz w:val="24"/>
                <w:szCs w:val="24"/>
              </w:rPr>
              <w:t>类</w:t>
            </w:r>
          </w:p>
        </w:tc>
        <w:tc>
          <w:tcPr>
            <w:tcW w:w="2397" w:type="dxa"/>
            <w:vAlign w:val="top"/>
          </w:tcPr>
          <w:p w14:paraId="1C9D008E">
            <w:pPr>
              <w:pStyle w:val="6"/>
              <w:spacing w:before="244" w:line="221" w:lineRule="auto"/>
              <w:ind w:left="957"/>
              <w:rPr>
                <w:sz w:val="24"/>
                <w:szCs w:val="24"/>
              </w:rPr>
            </w:pPr>
            <w:r>
              <w:rPr>
                <w:b/>
                <w:bCs/>
                <w:color w:val="405050"/>
                <w:spacing w:val="-7"/>
                <w:sz w:val="24"/>
                <w:szCs w:val="24"/>
              </w:rPr>
              <w:t>名</w:t>
            </w:r>
            <w:r>
              <w:rPr>
                <w:b/>
                <w:bCs/>
                <w:color w:val="506050"/>
                <w:spacing w:val="-7"/>
                <w:sz w:val="24"/>
                <w:szCs w:val="24"/>
              </w:rPr>
              <w:t>称</w:t>
            </w:r>
          </w:p>
        </w:tc>
        <w:tc>
          <w:tcPr>
            <w:tcW w:w="929" w:type="dxa"/>
            <w:vAlign w:val="top"/>
          </w:tcPr>
          <w:p w14:paraId="7D39CA92">
            <w:pPr>
              <w:pStyle w:val="6"/>
              <w:spacing w:before="52" w:line="220" w:lineRule="auto"/>
              <w:ind w:left="220"/>
              <w:rPr>
                <w:sz w:val="24"/>
                <w:szCs w:val="24"/>
              </w:rPr>
            </w:pPr>
            <w:r>
              <w:rPr>
                <w:b/>
                <w:bCs/>
                <w:color w:val="606060"/>
                <w:spacing w:val="-5"/>
                <w:sz w:val="24"/>
                <w:szCs w:val="24"/>
              </w:rPr>
              <w:t>储备</w:t>
            </w:r>
          </w:p>
          <w:p w14:paraId="53DEA951">
            <w:pPr>
              <w:pStyle w:val="6"/>
              <w:spacing w:before="80" w:line="219" w:lineRule="auto"/>
              <w:ind w:left="340"/>
              <w:rPr>
                <w:sz w:val="24"/>
                <w:szCs w:val="24"/>
              </w:rPr>
            </w:pPr>
            <w:r>
              <w:rPr>
                <w:b/>
                <w:bCs/>
                <w:color w:val="405050"/>
                <w:spacing w:val="-3"/>
                <w:sz w:val="24"/>
                <w:szCs w:val="24"/>
              </w:rPr>
              <w:t>量</w:t>
            </w:r>
          </w:p>
        </w:tc>
        <w:tc>
          <w:tcPr>
            <w:tcW w:w="1858" w:type="dxa"/>
            <w:vAlign w:val="top"/>
          </w:tcPr>
          <w:p w14:paraId="6DD33445">
            <w:pPr>
              <w:pStyle w:val="6"/>
              <w:spacing w:before="241" w:line="219" w:lineRule="auto"/>
              <w:ind w:left="421"/>
              <w:rPr>
                <w:sz w:val="24"/>
                <w:szCs w:val="24"/>
              </w:rPr>
            </w:pPr>
            <w:r>
              <w:rPr>
                <w:b/>
                <w:bCs/>
                <w:color w:val="505060"/>
                <w:spacing w:val="-5"/>
                <w:sz w:val="24"/>
                <w:szCs w:val="24"/>
              </w:rPr>
              <w:t>储存位</w:t>
            </w:r>
            <w:r>
              <w:rPr>
                <w:b/>
                <w:bCs/>
                <w:color w:val="405050"/>
                <w:spacing w:val="-5"/>
                <w:sz w:val="24"/>
                <w:szCs w:val="24"/>
              </w:rPr>
              <w:t>置</w:t>
            </w:r>
          </w:p>
        </w:tc>
        <w:tc>
          <w:tcPr>
            <w:tcW w:w="1074" w:type="dxa"/>
            <w:vAlign w:val="top"/>
          </w:tcPr>
          <w:p w14:paraId="6D05B5BA">
            <w:pPr>
              <w:pStyle w:val="6"/>
              <w:spacing w:before="233" w:line="221" w:lineRule="auto"/>
              <w:ind w:left="283"/>
              <w:rPr>
                <w:sz w:val="25"/>
                <w:szCs w:val="25"/>
              </w:rPr>
            </w:pPr>
            <w:r>
              <w:rPr>
                <w:b/>
                <w:bCs/>
                <w:color w:val="506060"/>
                <w:spacing w:val="-8"/>
                <w:sz w:val="25"/>
                <w:szCs w:val="25"/>
              </w:rPr>
              <w:t>备</w:t>
            </w:r>
            <w:r>
              <w:rPr>
                <w:b/>
                <w:bCs/>
                <w:color w:val="405050"/>
                <w:spacing w:val="-8"/>
                <w:sz w:val="25"/>
                <w:szCs w:val="25"/>
              </w:rPr>
              <w:t>注</w:t>
            </w:r>
          </w:p>
        </w:tc>
      </w:tr>
      <w:tr w14:paraId="631EB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3" w:type="dxa"/>
            <w:vAlign w:val="top"/>
          </w:tcPr>
          <w:p w14:paraId="295C2743">
            <w:pPr>
              <w:rPr>
                <w:rFonts w:ascii="Arial"/>
                <w:sz w:val="21"/>
              </w:rPr>
            </w:pPr>
          </w:p>
        </w:tc>
        <w:tc>
          <w:tcPr>
            <w:tcW w:w="1278" w:type="dxa"/>
            <w:vAlign w:val="top"/>
          </w:tcPr>
          <w:p w14:paraId="2DC1BB1C">
            <w:pPr>
              <w:rPr>
                <w:rFonts w:ascii="Arial"/>
                <w:sz w:val="21"/>
              </w:rPr>
            </w:pPr>
          </w:p>
        </w:tc>
        <w:tc>
          <w:tcPr>
            <w:tcW w:w="2397" w:type="dxa"/>
            <w:vAlign w:val="top"/>
          </w:tcPr>
          <w:p w14:paraId="514210B0">
            <w:pPr>
              <w:pStyle w:val="6"/>
              <w:spacing w:before="61" w:line="219" w:lineRule="auto"/>
              <w:ind w:left="954"/>
              <w:rPr>
                <w:sz w:val="24"/>
                <w:szCs w:val="24"/>
              </w:rPr>
            </w:pPr>
            <w:r>
              <w:rPr>
                <w:color w:val="303040"/>
                <w:spacing w:val="5"/>
                <w:sz w:val="24"/>
                <w:szCs w:val="24"/>
              </w:rPr>
              <w:t>石灰</w:t>
            </w:r>
          </w:p>
        </w:tc>
        <w:tc>
          <w:tcPr>
            <w:tcW w:w="929" w:type="dxa"/>
            <w:vAlign w:val="top"/>
          </w:tcPr>
          <w:p w14:paraId="35E89FC0">
            <w:pPr>
              <w:pStyle w:val="6"/>
              <w:spacing w:before="60" w:line="219" w:lineRule="auto"/>
              <w:ind w:left="217"/>
              <w:rPr>
                <w:sz w:val="24"/>
                <w:szCs w:val="24"/>
              </w:rPr>
            </w:pPr>
            <w:r>
              <w:rPr>
                <w:spacing w:val="-3"/>
                <w:sz w:val="24"/>
                <w:szCs w:val="24"/>
              </w:rPr>
              <w:t>若干</w:t>
            </w:r>
          </w:p>
        </w:tc>
        <w:tc>
          <w:tcPr>
            <w:tcW w:w="1858" w:type="dxa"/>
            <w:vMerge w:val="restart"/>
            <w:tcBorders>
              <w:bottom w:val="nil"/>
            </w:tcBorders>
            <w:vAlign w:val="top"/>
          </w:tcPr>
          <w:p w14:paraId="7E2E67EB">
            <w:pPr>
              <w:rPr>
                <w:rFonts w:ascii="Arial"/>
                <w:sz w:val="21"/>
              </w:rPr>
            </w:pPr>
          </w:p>
        </w:tc>
        <w:tc>
          <w:tcPr>
            <w:tcW w:w="1074" w:type="dxa"/>
            <w:vAlign w:val="top"/>
          </w:tcPr>
          <w:p w14:paraId="079A434B">
            <w:pPr>
              <w:rPr>
                <w:rFonts w:ascii="Arial"/>
                <w:sz w:val="21"/>
              </w:rPr>
            </w:pPr>
          </w:p>
        </w:tc>
      </w:tr>
      <w:tr w14:paraId="3344D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073" w:type="dxa"/>
            <w:vMerge w:val="restart"/>
            <w:tcBorders>
              <w:bottom w:val="nil"/>
            </w:tcBorders>
            <w:vAlign w:val="top"/>
          </w:tcPr>
          <w:p w14:paraId="74F6D3CF">
            <w:pPr>
              <w:spacing w:line="247" w:lineRule="auto"/>
              <w:rPr>
                <w:rFonts w:ascii="Arial"/>
                <w:sz w:val="21"/>
              </w:rPr>
            </w:pPr>
          </w:p>
          <w:p w14:paraId="795539E3">
            <w:pPr>
              <w:spacing w:line="247" w:lineRule="auto"/>
              <w:rPr>
                <w:rFonts w:ascii="Arial"/>
                <w:sz w:val="21"/>
              </w:rPr>
            </w:pPr>
          </w:p>
          <w:p w14:paraId="094C26B7">
            <w:pPr>
              <w:spacing w:line="248" w:lineRule="auto"/>
              <w:rPr>
                <w:rFonts w:ascii="Arial"/>
                <w:sz w:val="21"/>
              </w:rPr>
            </w:pPr>
          </w:p>
          <w:p w14:paraId="20CD673C">
            <w:pPr>
              <w:spacing w:line="248" w:lineRule="auto"/>
              <w:rPr>
                <w:rFonts w:ascii="Arial"/>
                <w:sz w:val="21"/>
              </w:rPr>
            </w:pPr>
          </w:p>
          <w:p w14:paraId="467E7EDB">
            <w:pPr>
              <w:spacing w:line="248" w:lineRule="auto"/>
              <w:rPr>
                <w:rFonts w:ascii="Arial"/>
                <w:sz w:val="21"/>
              </w:rPr>
            </w:pPr>
          </w:p>
          <w:p w14:paraId="66F1372E">
            <w:pPr>
              <w:spacing w:line="248" w:lineRule="auto"/>
              <w:rPr>
                <w:rFonts w:ascii="Arial"/>
                <w:sz w:val="21"/>
              </w:rPr>
            </w:pPr>
          </w:p>
          <w:p w14:paraId="2C09ECD4">
            <w:pPr>
              <w:pStyle w:val="6"/>
              <w:spacing w:before="78" w:line="220" w:lineRule="auto"/>
              <w:ind w:left="164"/>
              <w:rPr>
                <w:sz w:val="24"/>
                <w:szCs w:val="24"/>
              </w:rPr>
            </w:pPr>
            <w:r>
              <w:rPr>
                <w:color w:val="305050"/>
                <w:spacing w:val="-4"/>
                <w:sz w:val="24"/>
                <w:szCs w:val="24"/>
              </w:rPr>
              <w:t>装置</w:t>
            </w:r>
            <w:r>
              <w:rPr>
                <w:color w:val="406050"/>
                <w:spacing w:val="-4"/>
                <w:sz w:val="24"/>
                <w:szCs w:val="24"/>
              </w:rPr>
              <w:t>设</w:t>
            </w:r>
          </w:p>
          <w:p w14:paraId="49ABC398">
            <w:pPr>
              <w:pStyle w:val="6"/>
              <w:spacing w:before="74" w:line="221" w:lineRule="auto"/>
              <w:ind w:left="404"/>
              <w:rPr>
                <w:sz w:val="24"/>
                <w:szCs w:val="24"/>
              </w:rPr>
            </w:pPr>
            <w:r>
              <w:rPr>
                <w:sz w:val="24"/>
                <w:szCs w:val="24"/>
              </w:rPr>
              <w:t>备</w:t>
            </w:r>
          </w:p>
        </w:tc>
        <w:tc>
          <w:tcPr>
            <w:tcW w:w="1278" w:type="dxa"/>
            <w:vAlign w:val="top"/>
          </w:tcPr>
          <w:p w14:paraId="39A7352F">
            <w:pPr>
              <w:pStyle w:val="6"/>
              <w:spacing w:before="86" w:line="221" w:lineRule="auto"/>
              <w:ind w:left="151"/>
              <w:rPr>
                <w:sz w:val="24"/>
                <w:szCs w:val="24"/>
              </w:rPr>
            </w:pPr>
            <w:r>
              <w:rPr>
                <w:spacing w:val="2"/>
                <w:sz w:val="24"/>
                <w:szCs w:val="24"/>
              </w:rPr>
              <w:t>应急通讯</w:t>
            </w:r>
          </w:p>
          <w:p w14:paraId="232ED732">
            <w:pPr>
              <w:pStyle w:val="6"/>
              <w:spacing w:before="71" w:line="210" w:lineRule="auto"/>
              <w:ind w:left="391"/>
              <w:rPr>
                <w:sz w:val="24"/>
                <w:szCs w:val="24"/>
              </w:rPr>
            </w:pPr>
            <w:r>
              <w:rPr>
                <w:spacing w:val="5"/>
                <w:sz w:val="24"/>
                <w:szCs w:val="24"/>
              </w:rPr>
              <w:t>设备</w:t>
            </w:r>
          </w:p>
        </w:tc>
        <w:tc>
          <w:tcPr>
            <w:tcW w:w="2397" w:type="dxa"/>
            <w:vAlign w:val="top"/>
          </w:tcPr>
          <w:p w14:paraId="63B84688">
            <w:pPr>
              <w:pStyle w:val="6"/>
              <w:spacing w:before="251" w:line="219" w:lineRule="auto"/>
              <w:ind w:left="114"/>
              <w:rPr>
                <w:sz w:val="24"/>
                <w:szCs w:val="24"/>
              </w:rPr>
            </w:pPr>
            <w:r>
              <w:rPr>
                <w:spacing w:val="1"/>
                <w:sz w:val="24"/>
                <w:szCs w:val="24"/>
              </w:rPr>
              <w:t>电话、喇叭及讲机等</w:t>
            </w:r>
          </w:p>
        </w:tc>
        <w:tc>
          <w:tcPr>
            <w:tcW w:w="929" w:type="dxa"/>
            <w:vAlign w:val="top"/>
          </w:tcPr>
          <w:p w14:paraId="01577B68">
            <w:pPr>
              <w:pStyle w:val="6"/>
              <w:spacing w:before="251" w:line="219" w:lineRule="auto"/>
              <w:ind w:left="217"/>
              <w:rPr>
                <w:sz w:val="24"/>
                <w:szCs w:val="24"/>
              </w:rPr>
            </w:pPr>
            <w:r>
              <w:rPr>
                <w:spacing w:val="-3"/>
                <w:sz w:val="24"/>
                <w:szCs w:val="24"/>
              </w:rPr>
              <w:t>若干</w:t>
            </w:r>
          </w:p>
        </w:tc>
        <w:tc>
          <w:tcPr>
            <w:tcW w:w="1858" w:type="dxa"/>
            <w:vMerge w:val="continue"/>
            <w:tcBorders>
              <w:top w:val="nil"/>
              <w:bottom w:val="nil"/>
            </w:tcBorders>
            <w:vAlign w:val="top"/>
          </w:tcPr>
          <w:p w14:paraId="199CA52A">
            <w:pPr>
              <w:rPr>
                <w:rFonts w:ascii="Arial"/>
                <w:sz w:val="21"/>
              </w:rPr>
            </w:pPr>
          </w:p>
        </w:tc>
        <w:tc>
          <w:tcPr>
            <w:tcW w:w="1074" w:type="dxa"/>
            <w:vAlign w:val="top"/>
          </w:tcPr>
          <w:p w14:paraId="01F7A74D">
            <w:pPr>
              <w:pStyle w:val="6"/>
              <w:spacing w:before="241" w:line="219" w:lineRule="auto"/>
              <w:ind w:left="279"/>
              <w:rPr>
                <w:sz w:val="25"/>
                <w:szCs w:val="25"/>
              </w:rPr>
            </w:pPr>
            <w:r>
              <w:rPr>
                <w:spacing w:val="6"/>
                <w:sz w:val="25"/>
                <w:szCs w:val="25"/>
              </w:rPr>
              <w:t>采购</w:t>
            </w:r>
          </w:p>
        </w:tc>
      </w:tr>
      <w:tr w14:paraId="70FA2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73" w:type="dxa"/>
            <w:vMerge w:val="continue"/>
            <w:tcBorders>
              <w:top w:val="nil"/>
              <w:bottom w:val="nil"/>
            </w:tcBorders>
            <w:vAlign w:val="top"/>
          </w:tcPr>
          <w:p w14:paraId="3F52DB93">
            <w:pPr>
              <w:rPr>
                <w:rFonts w:ascii="Arial"/>
                <w:sz w:val="21"/>
              </w:rPr>
            </w:pPr>
          </w:p>
        </w:tc>
        <w:tc>
          <w:tcPr>
            <w:tcW w:w="1278" w:type="dxa"/>
            <w:vAlign w:val="top"/>
          </w:tcPr>
          <w:p w14:paraId="2A8181C7">
            <w:pPr>
              <w:pStyle w:val="6"/>
              <w:spacing w:before="245" w:line="219" w:lineRule="auto"/>
              <w:ind w:left="151"/>
              <w:rPr>
                <w:sz w:val="24"/>
                <w:szCs w:val="24"/>
              </w:rPr>
            </w:pPr>
            <w:r>
              <w:rPr>
                <w:spacing w:val="-2"/>
                <w:sz w:val="24"/>
                <w:szCs w:val="24"/>
              </w:rPr>
              <w:t>抽水设备</w:t>
            </w:r>
          </w:p>
        </w:tc>
        <w:tc>
          <w:tcPr>
            <w:tcW w:w="2397" w:type="dxa"/>
            <w:vAlign w:val="top"/>
          </w:tcPr>
          <w:p w14:paraId="1779034B">
            <w:pPr>
              <w:pStyle w:val="6"/>
              <w:spacing w:before="243" w:line="219" w:lineRule="auto"/>
              <w:ind w:left="114"/>
              <w:rPr>
                <w:sz w:val="24"/>
                <w:szCs w:val="24"/>
              </w:rPr>
            </w:pPr>
            <w:r>
              <w:rPr>
                <w:color w:val="404040"/>
                <w:spacing w:val="-1"/>
                <w:sz w:val="24"/>
                <w:szCs w:val="24"/>
              </w:rPr>
              <w:t>汽油机应急抽水机组</w:t>
            </w:r>
          </w:p>
        </w:tc>
        <w:tc>
          <w:tcPr>
            <w:tcW w:w="929" w:type="dxa"/>
            <w:vAlign w:val="top"/>
          </w:tcPr>
          <w:p w14:paraId="722927EE">
            <w:pPr>
              <w:pStyle w:val="6"/>
              <w:spacing w:before="258" w:line="230" w:lineRule="auto"/>
              <w:ind w:left="276"/>
              <w:rPr>
                <w:sz w:val="24"/>
                <w:szCs w:val="24"/>
              </w:rPr>
            </w:pPr>
            <w:r>
              <w:rPr>
                <w:spacing w:val="4"/>
                <w:sz w:val="24"/>
                <w:szCs w:val="24"/>
              </w:rPr>
              <w:t>2组</w:t>
            </w:r>
          </w:p>
        </w:tc>
        <w:tc>
          <w:tcPr>
            <w:tcW w:w="1858" w:type="dxa"/>
            <w:vMerge w:val="continue"/>
            <w:tcBorders>
              <w:top w:val="nil"/>
              <w:bottom w:val="nil"/>
            </w:tcBorders>
            <w:vAlign w:val="top"/>
          </w:tcPr>
          <w:p w14:paraId="610D1F2D">
            <w:pPr>
              <w:rPr>
                <w:rFonts w:ascii="Arial"/>
                <w:sz w:val="21"/>
              </w:rPr>
            </w:pPr>
          </w:p>
        </w:tc>
        <w:tc>
          <w:tcPr>
            <w:tcW w:w="1074" w:type="dxa"/>
            <w:vAlign w:val="top"/>
          </w:tcPr>
          <w:p w14:paraId="790A1AD9">
            <w:pPr>
              <w:pStyle w:val="6"/>
              <w:spacing w:before="112" w:line="219" w:lineRule="auto"/>
              <w:ind w:left="169"/>
              <w:rPr>
                <w:sz w:val="18"/>
                <w:szCs w:val="18"/>
              </w:rPr>
            </w:pPr>
            <w:r>
              <w:rPr>
                <w:spacing w:val="2"/>
                <w:sz w:val="18"/>
                <w:szCs w:val="18"/>
              </w:rPr>
              <w:t>由应急办</w:t>
            </w:r>
          </w:p>
          <w:p w14:paraId="0CAB8810">
            <w:pPr>
              <w:pStyle w:val="6"/>
              <w:spacing w:before="167" w:line="221" w:lineRule="auto"/>
              <w:ind w:left="350"/>
              <w:rPr>
                <w:sz w:val="18"/>
                <w:szCs w:val="18"/>
              </w:rPr>
            </w:pPr>
            <w:r>
              <w:rPr>
                <w:spacing w:val="10"/>
                <w:sz w:val="18"/>
                <w:szCs w:val="18"/>
              </w:rPr>
              <w:t>调用</w:t>
            </w:r>
          </w:p>
        </w:tc>
      </w:tr>
      <w:tr w14:paraId="0AED4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073" w:type="dxa"/>
            <w:vMerge w:val="continue"/>
            <w:tcBorders>
              <w:top w:val="nil"/>
              <w:bottom w:val="nil"/>
            </w:tcBorders>
            <w:vAlign w:val="top"/>
          </w:tcPr>
          <w:p w14:paraId="66BFF65F">
            <w:pPr>
              <w:rPr>
                <w:rFonts w:ascii="Arial"/>
                <w:sz w:val="21"/>
              </w:rPr>
            </w:pPr>
          </w:p>
        </w:tc>
        <w:tc>
          <w:tcPr>
            <w:tcW w:w="1278" w:type="dxa"/>
            <w:vAlign w:val="top"/>
          </w:tcPr>
          <w:p w14:paraId="61888481">
            <w:pPr>
              <w:pStyle w:val="6"/>
              <w:spacing w:before="257" w:line="221" w:lineRule="auto"/>
              <w:ind w:left="151"/>
              <w:rPr>
                <w:sz w:val="24"/>
                <w:szCs w:val="24"/>
              </w:rPr>
            </w:pPr>
            <w:r>
              <w:rPr>
                <w:spacing w:val="-2"/>
                <w:sz w:val="24"/>
                <w:szCs w:val="24"/>
              </w:rPr>
              <w:t>应急交通</w:t>
            </w:r>
          </w:p>
        </w:tc>
        <w:tc>
          <w:tcPr>
            <w:tcW w:w="2397" w:type="dxa"/>
            <w:vAlign w:val="top"/>
          </w:tcPr>
          <w:p w14:paraId="6178B69D">
            <w:pPr>
              <w:pStyle w:val="6"/>
              <w:spacing w:before="256" w:line="219" w:lineRule="auto"/>
              <w:ind w:left="833"/>
              <w:rPr>
                <w:sz w:val="24"/>
                <w:szCs w:val="24"/>
              </w:rPr>
            </w:pPr>
            <w:r>
              <w:rPr>
                <w:spacing w:val="-3"/>
                <w:sz w:val="24"/>
                <w:szCs w:val="24"/>
              </w:rPr>
              <w:t>应急车</w:t>
            </w:r>
          </w:p>
        </w:tc>
        <w:tc>
          <w:tcPr>
            <w:tcW w:w="929" w:type="dxa"/>
            <w:vAlign w:val="top"/>
          </w:tcPr>
          <w:p w14:paraId="1A68F6E1">
            <w:pPr>
              <w:pStyle w:val="6"/>
              <w:spacing w:before="256" w:line="219" w:lineRule="auto"/>
              <w:ind w:left="276"/>
              <w:rPr>
                <w:sz w:val="24"/>
                <w:szCs w:val="24"/>
              </w:rPr>
            </w:pPr>
            <w:r>
              <w:rPr>
                <w:spacing w:val="4"/>
                <w:sz w:val="24"/>
                <w:szCs w:val="24"/>
              </w:rPr>
              <w:t>2辆</w:t>
            </w:r>
          </w:p>
        </w:tc>
        <w:tc>
          <w:tcPr>
            <w:tcW w:w="1858" w:type="dxa"/>
            <w:vMerge w:val="continue"/>
            <w:tcBorders>
              <w:top w:val="nil"/>
              <w:bottom w:val="nil"/>
            </w:tcBorders>
            <w:vAlign w:val="top"/>
          </w:tcPr>
          <w:p w14:paraId="67AEDBA8">
            <w:pPr>
              <w:rPr>
                <w:rFonts w:ascii="Arial"/>
                <w:sz w:val="21"/>
              </w:rPr>
            </w:pPr>
          </w:p>
        </w:tc>
        <w:tc>
          <w:tcPr>
            <w:tcW w:w="1074" w:type="dxa"/>
            <w:vMerge w:val="restart"/>
            <w:tcBorders>
              <w:bottom w:val="nil"/>
            </w:tcBorders>
            <w:vAlign w:val="top"/>
          </w:tcPr>
          <w:p w14:paraId="5C18DC3F">
            <w:pPr>
              <w:spacing w:line="442" w:lineRule="auto"/>
              <w:rPr>
                <w:rFonts w:ascii="Arial"/>
                <w:sz w:val="21"/>
              </w:rPr>
            </w:pPr>
          </w:p>
          <w:p w14:paraId="02BCDD42">
            <w:pPr>
              <w:pStyle w:val="6"/>
              <w:spacing w:before="58" w:line="219" w:lineRule="auto"/>
              <w:ind w:left="169"/>
              <w:rPr>
                <w:sz w:val="18"/>
                <w:szCs w:val="18"/>
              </w:rPr>
            </w:pPr>
            <w:r>
              <w:rPr>
                <w:spacing w:val="2"/>
                <w:sz w:val="18"/>
                <w:szCs w:val="18"/>
              </w:rPr>
              <w:t>由应急办</w:t>
            </w:r>
          </w:p>
          <w:p w14:paraId="72EEAA05">
            <w:pPr>
              <w:pStyle w:val="6"/>
              <w:spacing w:before="167" w:line="221" w:lineRule="auto"/>
              <w:ind w:left="350"/>
              <w:rPr>
                <w:sz w:val="18"/>
                <w:szCs w:val="18"/>
              </w:rPr>
            </w:pPr>
            <w:r>
              <w:rPr>
                <w:spacing w:val="10"/>
                <w:sz w:val="18"/>
                <w:szCs w:val="18"/>
              </w:rPr>
              <w:t>调用</w:t>
            </w:r>
          </w:p>
        </w:tc>
      </w:tr>
      <w:tr w14:paraId="71849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73" w:type="dxa"/>
            <w:vMerge w:val="continue"/>
            <w:tcBorders>
              <w:top w:val="nil"/>
              <w:bottom w:val="nil"/>
            </w:tcBorders>
            <w:vAlign w:val="top"/>
          </w:tcPr>
          <w:p w14:paraId="7E533A5C">
            <w:pPr>
              <w:rPr>
                <w:rFonts w:ascii="Arial"/>
                <w:sz w:val="21"/>
              </w:rPr>
            </w:pPr>
          </w:p>
        </w:tc>
        <w:tc>
          <w:tcPr>
            <w:tcW w:w="1278" w:type="dxa"/>
            <w:vMerge w:val="restart"/>
            <w:tcBorders>
              <w:bottom w:val="nil"/>
            </w:tcBorders>
            <w:vAlign w:val="top"/>
          </w:tcPr>
          <w:p w14:paraId="730FDA83">
            <w:pPr>
              <w:pStyle w:val="6"/>
              <w:spacing w:before="258" w:line="219" w:lineRule="auto"/>
              <w:ind w:left="271"/>
              <w:rPr>
                <w:sz w:val="24"/>
                <w:szCs w:val="24"/>
              </w:rPr>
            </w:pPr>
            <w:r>
              <w:rPr>
                <w:spacing w:val="-3"/>
                <w:sz w:val="24"/>
                <w:szCs w:val="24"/>
              </w:rPr>
              <w:t>特种车</w:t>
            </w:r>
          </w:p>
        </w:tc>
        <w:tc>
          <w:tcPr>
            <w:tcW w:w="2397" w:type="dxa"/>
            <w:vAlign w:val="top"/>
          </w:tcPr>
          <w:p w14:paraId="1DD8D513">
            <w:pPr>
              <w:pStyle w:val="6"/>
              <w:spacing w:before="76" w:line="217" w:lineRule="auto"/>
              <w:ind w:left="833"/>
              <w:rPr>
                <w:sz w:val="24"/>
                <w:szCs w:val="24"/>
              </w:rPr>
            </w:pPr>
            <w:r>
              <w:rPr>
                <w:spacing w:val="3"/>
                <w:sz w:val="24"/>
                <w:szCs w:val="24"/>
              </w:rPr>
              <w:t>水罐车</w:t>
            </w:r>
          </w:p>
        </w:tc>
        <w:tc>
          <w:tcPr>
            <w:tcW w:w="929" w:type="dxa"/>
            <w:vAlign w:val="top"/>
          </w:tcPr>
          <w:p w14:paraId="54D37CAE">
            <w:pPr>
              <w:pStyle w:val="6"/>
              <w:spacing w:before="76" w:line="217" w:lineRule="auto"/>
              <w:ind w:left="276"/>
              <w:rPr>
                <w:sz w:val="24"/>
                <w:szCs w:val="24"/>
              </w:rPr>
            </w:pPr>
            <w:r>
              <w:rPr>
                <w:spacing w:val="4"/>
                <w:sz w:val="24"/>
                <w:szCs w:val="24"/>
              </w:rPr>
              <w:t>3辆</w:t>
            </w:r>
          </w:p>
        </w:tc>
        <w:tc>
          <w:tcPr>
            <w:tcW w:w="1858" w:type="dxa"/>
            <w:vMerge w:val="continue"/>
            <w:tcBorders>
              <w:top w:val="nil"/>
            </w:tcBorders>
            <w:vAlign w:val="top"/>
          </w:tcPr>
          <w:p w14:paraId="321E8DE7">
            <w:pPr>
              <w:rPr>
                <w:rFonts w:ascii="Arial"/>
                <w:sz w:val="21"/>
              </w:rPr>
            </w:pPr>
          </w:p>
        </w:tc>
        <w:tc>
          <w:tcPr>
            <w:tcW w:w="1074" w:type="dxa"/>
            <w:vMerge w:val="continue"/>
            <w:tcBorders>
              <w:top w:val="nil"/>
              <w:bottom w:val="nil"/>
            </w:tcBorders>
            <w:vAlign w:val="top"/>
          </w:tcPr>
          <w:p w14:paraId="2BF068BF">
            <w:pPr>
              <w:rPr>
                <w:rFonts w:ascii="Arial"/>
                <w:sz w:val="21"/>
              </w:rPr>
            </w:pPr>
          </w:p>
        </w:tc>
      </w:tr>
      <w:tr w14:paraId="6400E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73" w:type="dxa"/>
            <w:vMerge w:val="continue"/>
            <w:tcBorders>
              <w:top w:val="nil"/>
            </w:tcBorders>
            <w:vAlign w:val="top"/>
          </w:tcPr>
          <w:p w14:paraId="2F6F003F">
            <w:pPr>
              <w:rPr>
                <w:rFonts w:ascii="Arial"/>
                <w:sz w:val="21"/>
              </w:rPr>
            </w:pPr>
          </w:p>
        </w:tc>
        <w:tc>
          <w:tcPr>
            <w:tcW w:w="1278" w:type="dxa"/>
            <w:vMerge w:val="continue"/>
            <w:tcBorders>
              <w:top w:val="nil"/>
            </w:tcBorders>
            <w:vAlign w:val="top"/>
          </w:tcPr>
          <w:p w14:paraId="56519270">
            <w:pPr>
              <w:rPr>
                <w:rFonts w:ascii="Arial"/>
                <w:sz w:val="21"/>
              </w:rPr>
            </w:pPr>
          </w:p>
        </w:tc>
        <w:tc>
          <w:tcPr>
            <w:tcW w:w="2397" w:type="dxa"/>
            <w:vAlign w:val="top"/>
          </w:tcPr>
          <w:p w14:paraId="2A130F69">
            <w:pPr>
              <w:pStyle w:val="6"/>
              <w:spacing w:before="67" w:line="219" w:lineRule="auto"/>
              <w:ind w:left="833"/>
              <w:rPr>
                <w:sz w:val="24"/>
                <w:szCs w:val="24"/>
              </w:rPr>
            </w:pPr>
            <w:r>
              <w:rPr>
                <w:spacing w:val="-2"/>
                <w:sz w:val="24"/>
                <w:szCs w:val="24"/>
              </w:rPr>
              <w:t>挖掘机</w:t>
            </w:r>
          </w:p>
        </w:tc>
        <w:tc>
          <w:tcPr>
            <w:tcW w:w="929" w:type="dxa"/>
            <w:vAlign w:val="top"/>
          </w:tcPr>
          <w:p w14:paraId="25E5064C">
            <w:pPr>
              <w:pStyle w:val="6"/>
              <w:spacing w:before="68" w:line="219" w:lineRule="auto"/>
              <w:ind w:left="276"/>
              <w:rPr>
                <w:sz w:val="24"/>
                <w:szCs w:val="24"/>
              </w:rPr>
            </w:pPr>
            <w:r>
              <w:rPr>
                <w:spacing w:val="4"/>
                <w:sz w:val="24"/>
                <w:szCs w:val="24"/>
              </w:rPr>
              <w:t>2辆</w:t>
            </w:r>
          </w:p>
        </w:tc>
        <w:tc>
          <w:tcPr>
            <w:tcW w:w="1858" w:type="dxa"/>
            <w:vAlign w:val="top"/>
          </w:tcPr>
          <w:p w14:paraId="74C038AD">
            <w:pPr>
              <w:rPr>
                <w:rFonts w:ascii="Arial"/>
                <w:sz w:val="21"/>
              </w:rPr>
            </w:pPr>
          </w:p>
        </w:tc>
        <w:tc>
          <w:tcPr>
            <w:tcW w:w="1074" w:type="dxa"/>
            <w:vMerge w:val="continue"/>
            <w:tcBorders>
              <w:top w:val="nil"/>
            </w:tcBorders>
            <w:vAlign w:val="top"/>
          </w:tcPr>
          <w:p w14:paraId="304BF9B6">
            <w:pPr>
              <w:rPr>
                <w:rFonts w:ascii="Arial"/>
                <w:sz w:val="21"/>
              </w:rPr>
            </w:pPr>
          </w:p>
        </w:tc>
      </w:tr>
    </w:tbl>
    <w:p w14:paraId="5C5EE6A3">
      <w:pPr>
        <w:spacing w:before="144" w:line="220" w:lineRule="auto"/>
        <w:ind w:left="114"/>
        <w:rPr>
          <w:rFonts w:ascii="宋体" w:hAnsi="宋体" w:eastAsia="宋体" w:cs="宋体"/>
          <w:sz w:val="31"/>
          <w:szCs w:val="31"/>
        </w:rPr>
      </w:pPr>
      <w:r>
        <w:rPr>
          <w:rFonts w:ascii="Times New Roman" w:hAnsi="Times New Roman" w:eastAsia="Times New Roman" w:cs="Times New Roman"/>
          <w:b/>
          <w:bCs/>
          <w:spacing w:val="-10"/>
          <w:sz w:val="31"/>
          <w:szCs w:val="31"/>
        </w:rPr>
        <w:t>5</w:t>
      </w:r>
      <w:r>
        <w:rPr>
          <w:rFonts w:ascii="宋体" w:hAnsi="宋体" w:eastAsia="宋体" w:cs="宋体"/>
          <w:b/>
          <w:bCs/>
          <w:spacing w:val="-10"/>
          <w:sz w:val="31"/>
          <w:szCs w:val="31"/>
        </w:rPr>
        <w:t>、环境风险防控与应急措施差距分析</w:t>
      </w:r>
    </w:p>
    <w:p w14:paraId="19295CD8">
      <w:pPr>
        <w:spacing w:before="229" w:line="351" w:lineRule="auto"/>
        <w:ind w:left="114" w:right="113" w:firstLine="480"/>
        <w:jc w:val="both"/>
        <w:rPr>
          <w:rFonts w:ascii="宋体" w:hAnsi="宋体" w:eastAsia="宋体" w:cs="宋体"/>
          <w:sz w:val="24"/>
          <w:szCs w:val="24"/>
        </w:rPr>
      </w:pPr>
      <w:r>
        <w:rPr>
          <w:rFonts w:ascii="宋体" w:hAnsi="宋体" w:eastAsia="宋体" w:cs="宋体"/>
          <w:spacing w:val="-2"/>
          <w:sz w:val="24"/>
          <w:szCs w:val="24"/>
        </w:rPr>
        <w:t>在充分调研松江区水源地现有应急能</w:t>
      </w:r>
      <w:r>
        <w:rPr>
          <w:rFonts w:ascii="宋体" w:hAnsi="宋体" w:eastAsia="宋体" w:cs="宋体"/>
          <w:color w:val="606070"/>
          <w:spacing w:val="-2"/>
          <w:sz w:val="24"/>
          <w:szCs w:val="24"/>
        </w:rPr>
        <w:t>力和管理制度的基础上，</w:t>
      </w:r>
      <w:r>
        <w:rPr>
          <w:rFonts w:ascii="宋体" w:hAnsi="宋体" w:eastAsia="宋体" w:cs="宋体"/>
          <w:spacing w:val="-2"/>
          <w:sz w:val="24"/>
          <w:szCs w:val="24"/>
        </w:rPr>
        <w:t>结合水源地周</w:t>
      </w:r>
      <w:r>
        <w:rPr>
          <w:rFonts w:ascii="宋体" w:hAnsi="宋体" w:eastAsia="宋体" w:cs="宋体"/>
          <w:spacing w:val="3"/>
          <w:sz w:val="24"/>
          <w:szCs w:val="24"/>
        </w:rPr>
        <w:t xml:space="preserve"> </w:t>
      </w:r>
      <w:r>
        <w:rPr>
          <w:rFonts w:ascii="宋体" w:hAnsi="宋体" w:eastAsia="宋体" w:cs="宋体"/>
          <w:spacing w:val="-2"/>
          <w:sz w:val="24"/>
          <w:szCs w:val="24"/>
        </w:rPr>
        <w:t>边可能发生的突发性水污染事件的风险因素和风险类型，</w:t>
      </w:r>
      <w:r>
        <w:rPr>
          <w:rFonts w:ascii="宋体" w:hAnsi="宋体" w:eastAsia="宋体" w:cs="宋体"/>
          <w:spacing w:val="-3"/>
          <w:sz w:val="24"/>
          <w:szCs w:val="24"/>
        </w:rPr>
        <w:t>参照《集中式饮用水水</w:t>
      </w:r>
      <w:r>
        <w:rPr>
          <w:rFonts w:ascii="宋体" w:hAnsi="宋体" w:eastAsia="宋体" w:cs="宋体"/>
          <w:sz w:val="24"/>
          <w:szCs w:val="24"/>
        </w:rPr>
        <w:t xml:space="preserve"> </w:t>
      </w:r>
      <w:r>
        <w:rPr>
          <w:rFonts w:ascii="宋体" w:hAnsi="宋体" w:eastAsia="宋体" w:cs="宋体"/>
          <w:spacing w:val="-3"/>
          <w:sz w:val="24"/>
          <w:szCs w:val="24"/>
        </w:rPr>
        <w:t>源地环境保护指南(试行)》等相关法律、法规、</w:t>
      </w:r>
      <w:r>
        <w:rPr>
          <w:rFonts w:ascii="宋体" w:hAnsi="宋体" w:eastAsia="宋体" w:cs="宋体"/>
          <w:spacing w:val="-4"/>
          <w:sz w:val="24"/>
          <w:szCs w:val="24"/>
        </w:rPr>
        <w:t>规范，提出整改方案见下表5-1。</w:t>
      </w:r>
    </w:p>
    <w:p w14:paraId="0C0CA4B6">
      <w:pPr>
        <w:spacing w:line="219" w:lineRule="auto"/>
        <w:ind w:left="2298"/>
        <w:rPr>
          <w:rFonts w:ascii="宋体" w:hAnsi="宋体" w:eastAsia="宋体" w:cs="宋体"/>
          <w:sz w:val="26"/>
          <w:szCs w:val="26"/>
        </w:rPr>
      </w:pPr>
      <w:r>
        <w:rPr>
          <w:rFonts w:ascii="宋体" w:hAnsi="宋体" w:eastAsia="宋体" w:cs="宋体"/>
          <w:b/>
          <w:bCs/>
          <w:spacing w:val="-4"/>
          <w:sz w:val="26"/>
          <w:szCs w:val="26"/>
        </w:rPr>
        <w:t>表5-1环境风险防范措施完善计划表</w:t>
      </w:r>
    </w:p>
    <w:p w14:paraId="2AF19A0B">
      <w:pPr>
        <w:spacing w:line="69" w:lineRule="exact"/>
      </w:pPr>
    </w:p>
    <w:tbl>
      <w:tblPr>
        <w:tblStyle w:val="5"/>
        <w:tblW w:w="850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4"/>
        <w:gridCol w:w="1278"/>
        <w:gridCol w:w="2577"/>
        <w:gridCol w:w="2237"/>
        <w:gridCol w:w="1293"/>
      </w:tblGrid>
      <w:tr w14:paraId="71A80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124" w:type="dxa"/>
            <w:vAlign w:val="top"/>
          </w:tcPr>
          <w:p w14:paraId="69DB6987">
            <w:pPr>
              <w:pStyle w:val="6"/>
              <w:spacing w:before="201" w:line="219" w:lineRule="auto"/>
              <w:ind w:left="318"/>
              <w:rPr>
                <w:sz w:val="24"/>
                <w:szCs w:val="24"/>
              </w:rPr>
            </w:pPr>
            <w:r>
              <w:rPr>
                <w:b/>
                <w:bCs/>
                <w:sz w:val="24"/>
                <w:szCs w:val="24"/>
              </w:rPr>
              <w:t>内容</w:t>
            </w:r>
          </w:p>
        </w:tc>
        <w:tc>
          <w:tcPr>
            <w:tcW w:w="1278" w:type="dxa"/>
            <w:vAlign w:val="top"/>
          </w:tcPr>
          <w:p w14:paraId="702BE054">
            <w:pPr>
              <w:pStyle w:val="6"/>
              <w:spacing w:before="12" w:line="220" w:lineRule="auto"/>
              <w:ind w:left="154"/>
              <w:rPr>
                <w:sz w:val="24"/>
                <w:szCs w:val="24"/>
              </w:rPr>
            </w:pPr>
            <w:r>
              <w:rPr>
                <w:b/>
                <w:bCs/>
                <w:spacing w:val="-5"/>
                <w:sz w:val="24"/>
                <w:szCs w:val="24"/>
              </w:rPr>
              <w:t>保护区级</w:t>
            </w:r>
          </w:p>
          <w:p w14:paraId="506444D4">
            <w:pPr>
              <w:pStyle w:val="6"/>
              <w:spacing w:before="14" w:line="220" w:lineRule="auto"/>
              <w:ind w:left="504"/>
              <w:rPr>
                <w:sz w:val="24"/>
                <w:szCs w:val="24"/>
              </w:rPr>
            </w:pPr>
            <w:r>
              <w:rPr>
                <w:b/>
                <w:bCs/>
                <w:color w:val="304040"/>
                <w:spacing w:val="-3"/>
                <w:sz w:val="24"/>
                <w:szCs w:val="24"/>
              </w:rPr>
              <w:t>别</w:t>
            </w:r>
          </w:p>
        </w:tc>
        <w:tc>
          <w:tcPr>
            <w:tcW w:w="2577" w:type="dxa"/>
            <w:vAlign w:val="top"/>
          </w:tcPr>
          <w:p w14:paraId="7D98F137">
            <w:pPr>
              <w:pStyle w:val="6"/>
              <w:spacing w:before="201" w:line="219" w:lineRule="auto"/>
              <w:ind w:left="786"/>
              <w:rPr>
                <w:sz w:val="24"/>
                <w:szCs w:val="24"/>
              </w:rPr>
            </w:pPr>
            <w:r>
              <w:rPr>
                <w:b/>
                <w:bCs/>
                <w:color w:val="605060"/>
                <w:spacing w:val="-5"/>
                <w:sz w:val="24"/>
                <w:szCs w:val="24"/>
              </w:rPr>
              <w:t>存在问题</w:t>
            </w:r>
          </w:p>
        </w:tc>
        <w:tc>
          <w:tcPr>
            <w:tcW w:w="2237" w:type="dxa"/>
            <w:vAlign w:val="top"/>
          </w:tcPr>
          <w:p w14:paraId="7B6BE564">
            <w:pPr>
              <w:pStyle w:val="6"/>
              <w:spacing w:before="202" w:line="220" w:lineRule="auto"/>
              <w:ind w:left="619"/>
              <w:rPr>
                <w:sz w:val="24"/>
                <w:szCs w:val="24"/>
              </w:rPr>
            </w:pPr>
            <w:r>
              <w:rPr>
                <w:b/>
                <w:bCs/>
                <w:color w:val="505060"/>
                <w:spacing w:val="-6"/>
                <w:sz w:val="24"/>
                <w:szCs w:val="24"/>
              </w:rPr>
              <w:t>整治方</w:t>
            </w:r>
            <w:r>
              <w:rPr>
                <w:b/>
                <w:bCs/>
                <w:spacing w:val="-6"/>
                <w:sz w:val="24"/>
                <w:szCs w:val="24"/>
              </w:rPr>
              <w:t>案</w:t>
            </w:r>
          </w:p>
        </w:tc>
        <w:tc>
          <w:tcPr>
            <w:tcW w:w="1293" w:type="dxa"/>
            <w:vAlign w:val="top"/>
          </w:tcPr>
          <w:p w14:paraId="2F6905BF">
            <w:pPr>
              <w:pStyle w:val="6"/>
              <w:spacing w:before="201" w:line="219" w:lineRule="auto"/>
              <w:ind w:left="162"/>
              <w:rPr>
                <w:sz w:val="24"/>
                <w:szCs w:val="24"/>
              </w:rPr>
            </w:pPr>
            <w:r>
              <w:rPr>
                <w:b/>
                <w:bCs/>
                <w:color w:val="505060"/>
                <w:spacing w:val="1"/>
                <w:sz w:val="24"/>
                <w:szCs w:val="24"/>
              </w:rPr>
              <w:t>完成时间</w:t>
            </w:r>
          </w:p>
        </w:tc>
      </w:tr>
      <w:tr w14:paraId="33BB8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124" w:type="dxa"/>
            <w:vAlign w:val="top"/>
          </w:tcPr>
          <w:p w14:paraId="66CB59E4">
            <w:pPr>
              <w:spacing w:line="433" w:lineRule="auto"/>
              <w:rPr>
                <w:rFonts w:ascii="Arial"/>
                <w:sz w:val="21"/>
              </w:rPr>
            </w:pPr>
          </w:p>
          <w:p w14:paraId="5F059B48">
            <w:pPr>
              <w:pStyle w:val="6"/>
              <w:spacing w:before="78" w:line="221" w:lineRule="auto"/>
              <w:ind w:left="315"/>
              <w:rPr>
                <w:sz w:val="24"/>
                <w:szCs w:val="24"/>
              </w:rPr>
            </w:pPr>
            <w:r>
              <w:rPr>
                <w:spacing w:val="15"/>
                <w:sz w:val="24"/>
                <w:szCs w:val="24"/>
              </w:rPr>
              <w:t>农田</w:t>
            </w:r>
          </w:p>
        </w:tc>
        <w:tc>
          <w:tcPr>
            <w:tcW w:w="1278" w:type="dxa"/>
            <w:vMerge w:val="restart"/>
            <w:tcBorders>
              <w:bottom w:val="nil"/>
            </w:tcBorders>
            <w:vAlign w:val="top"/>
          </w:tcPr>
          <w:p w14:paraId="22B55F25">
            <w:pPr>
              <w:spacing w:line="242" w:lineRule="auto"/>
              <w:rPr>
                <w:rFonts w:ascii="Arial"/>
                <w:sz w:val="21"/>
              </w:rPr>
            </w:pPr>
          </w:p>
          <w:p w14:paraId="7135BD1D">
            <w:pPr>
              <w:spacing w:line="243" w:lineRule="auto"/>
              <w:rPr>
                <w:rFonts w:ascii="Arial"/>
                <w:sz w:val="21"/>
              </w:rPr>
            </w:pPr>
          </w:p>
          <w:p w14:paraId="7948996D">
            <w:pPr>
              <w:spacing w:line="243" w:lineRule="auto"/>
              <w:rPr>
                <w:rFonts w:ascii="Arial"/>
                <w:sz w:val="21"/>
              </w:rPr>
            </w:pPr>
          </w:p>
          <w:p w14:paraId="1771F18A">
            <w:pPr>
              <w:pStyle w:val="6"/>
              <w:spacing w:before="78" w:line="271" w:lineRule="auto"/>
              <w:ind w:left="510" w:right="139" w:hanging="360"/>
              <w:rPr>
                <w:sz w:val="24"/>
                <w:szCs w:val="24"/>
              </w:rPr>
            </w:pPr>
            <w:r>
              <w:rPr>
                <w:spacing w:val="4"/>
                <w:sz w:val="24"/>
                <w:szCs w:val="24"/>
              </w:rPr>
              <w:t>一</w:t>
            </w:r>
            <w:r>
              <w:rPr>
                <w:color w:val="102030"/>
                <w:spacing w:val="4"/>
                <w:sz w:val="24"/>
                <w:szCs w:val="24"/>
              </w:rPr>
              <w:t>级保护</w:t>
            </w:r>
            <w:r>
              <w:rPr>
                <w:color w:val="102030"/>
                <w:sz w:val="24"/>
                <w:szCs w:val="24"/>
              </w:rPr>
              <w:t xml:space="preserve"> </w:t>
            </w:r>
            <w:r>
              <w:rPr>
                <w:sz w:val="24"/>
                <w:szCs w:val="24"/>
              </w:rPr>
              <w:t>区</w:t>
            </w:r>
          </w:p>
        </w:tc>
        <w:tc>
          <w:tcPr>
            <w:tcW w:w="2577" w:type="dxa"/>
            <w:vAlign w:val="top"/>
          </w:tcPr>
          <w:p w14:paraId="6DB55B26">
            <w:pPr>
              <w:pStyle w:val="6"/>
              <w:spacing w:before="21" w:line="219" w:lineRule="auto"/>
              <w:ind w:left="583"/>
              <w:rPr>
                <w:sz w:val="24"/>
                <w:szCs w:val="24"/>
              </w:rPr>
            </w:pPr>
            <w:r>
              <w:rPr>
                <w:spacing w:val="1"/>
                <w:sz w:val="24"/>
                <w:szCs w:val="24"/>
              </w:rPr>
              <w:t>主要种植玉米等</w:t>
            </w:r>
          </w:p>
          <w:p w14:paraId="735E0AC5">
            <w:pPr>
              <w:pStyle w:val="6"/>
              <w:spacing w:before="35" w:line="230" w:lineRule="auto"/>
              <w:ind w:left="93" w:firstLine="19"/>
              <w:rPr>
                <w:sz w:val="24"/>
                <w:szCs w:val="24"/>
              </w:rPr>
            </w:pPr>
            <w:r>
              <w:rPr>
                <w:color w:val="304050"/>
                <w:spacing w:val="-15"/>
                <w:sz w:val="24"/>
                <w:szCs w:val="24"/>
              </w:rPr>
              <w:t>农</w:t>
            </w:r>
            <w:r>
              <w:rPr>
                <w:color w:val="304050"/>
                <w:spacing w:val="-44"/>
                <w:sz w:val="24"/>
                <w:szCs w:val="24"/>
              </w:rPr>
              <w:t xml:space="preserve"> </w:t>
            </w:r>
            <w:r>
              <w:rPr>
                <w:color w:val="304050"/>
                <w:spacing w:val="-15"/>
                <w:sz w:val="24"/>
                <w:szCs w:val="24"/>
              </w:rPr>
              <w:t>作</w:t>
            </w:r>
            <w:r>
              <w:rPr>
                <w:color w:val="304050"/>
                <w:spacing w:val="-52"/>
                <w:sz w:val="24"/>
                <w:szCs w:val="24"/>
              </w:rPr>
              <w:t xml:space="preserve"> </w:t>
            </w:r>
            <w:r>
              <w:rPr>
                <w:color w:val="304050"/>
                <w:spacing w:val="-15"/>
                <w:sz w:val="24"/>
                <w:szCs w:val="24"/>
              </w:rPr>
              <w:t>物</w:t>
            </w:r>
            <w:r>
              <w:rPr>
                <w:color w:val="304050"/>
                <w:spacing w:val="-61"/>
                <w:sz w:val="24"/>
                <w:szCs w:val="24"/>
              </w:rPr>
              <w:t xml:space="preserve"> </w:t>
            </w:r>
            <w:r>
              <w:rPr>
                <w:color w:val="304050"/>
                <w:spacing w:val="-15"/>
                <w:sz w:val="24"/>
                <w:szCs w:val="24"/>
              </w:rPr>
              <w:t>，</w:t>
            </w:r>
            <w:r>
              <w:rPr>
                <w:spacing w:val="-15"/>
                <w:sz w:val="24"/>
                <w:szCs w:val="24"/>
              </w:rPr>
              <w:t>使用复合肥、</w:t>
            </w:r>
            <w:r>
              <w:rPr>
                <w:sz w:val="24"/>
                <w:szCs w:val="24"/>
              </w:rPr>
              <w:t xml:space="preserve"> </w:t>
            </w:r>
            <w:r>
              <w:rPr>
                <w:spacing w:val="-4"/>
                <w:sz w:val="24"/>
                <w:szCs w:val="24"/>
              </w:rPr>
              <w:t>农药及除草剂，对饮用</w:t>
            </w:r>
            <w:r>
              <w:rPr>
                <w:spacing w:val="2"/>
                <w:sz w:val="24"/>
                <w:szCs w:val="24"/>
              </w:rPr>
              <w:t xml:space="preserve">  </w:t>
            </w:r>
            <w:r>
              <w:rPr>
                <w:spacing w:val="-6"/>
                <w:sz w:val="24"/>
                <w:szCs w:val="24"/>
              </w:rPr>
              <w:t>水源造成面源污染。</w:t>
            </w:r>
          </w:p>
        </w:tc>
        <w:tc>
          <w:tcPr>
            <w:tcW w:w="2237" w:type="dxa"/>
            <w:vAlign w:val="top"/>
          </w:tcPr>
          <w:p w14:paraId="0C1A7E7F">
            <w:pPr>
              <w:pStyle w:val="6"/>
              <w:spacing w:before="179" w:line="248" w:lineRule="auto"/>
              <w:ind w:left="95" w:right="78" w:firstLine="219"/>
              <w:rPr>
                <w:sz w:val="24"/>
                <w:szCs w:val="24"/>
              </w:rPr>
            </w:pPr>
            <w:r>
              <w:rPr>
                <w:spacing w:val="17"/>
                <w:sz w:val="24"/>
                <w:szCs w:val="24"/>
              </w:rPr>
              <w:t>严格控制农药、</w:t>
            </w:r>
            <w:r>
              <w:rPr>
                <w:sz w:val="24"/>
                <w:szCs w:val="24"/>
              </w:rPr>
              <w:t xml:space="preserve"> </w:t>
            </w:r>
            <w:r>
              <w:rPr>
                <w:spacing w:val="53"/>
                <w:sz w:val="24"/>
                <w:szCs w:val="24"/>
              </w:rPr>
              <w:t>化肥等非点源污</w:t>
            </w:r>
            <w:r>
              <w:rPr>
                <w:sz w:val="24"/>
                <w:szCs w:val="24"/>
              </w:rPr>
              <w:t xml:space="preserve"> </w:t>
            </w:r>
            <w:r>
              <w:rPr>
                <w:spacing w:val="-20"/>
                <w:sz w:val="24"/>
                <w:szCs w:val="24"/>
              </w:rPr>
              <w:t>染</w:t>
            </w:r>
            <w:r>
              <w:rPr>
                <w:spacing w:val="38"/>
                <w:sz w:val="24"/>
                <w:szCs w:val="24"/>
              </w:rPr>
              <w:t xml:space="preserve"> </w:t>
            </w:r>
            <w:r>
              <w:rPr>
                <w:spacing w:val="-20"/>
                <w:sz w:val="24"/>
                <w:szCs w:val="24"/>
              </w:rPr>
              <w:t>，</w:t>
            </w:r>
            <w:r>
              <w:rPr>
                <w:color w:val="506060"/>
                <w:spacing w:val="-20"/>
                <w:sz w:val="24"/>
                <w:szCs w:val="24"/>
              </w:rPr>
              <w:t>并逐步退出。</w:t>
            </w:r>
          </w:p>
        </w:tc>
        <w:tc>
          <w:tcPr>
            <w:tcW w:w="1293" w:type="dxa"/>
            <w:vMerge w:val="restart"/>
            <w:tcBorders>
              <w:bottom w:val="nil"/>
            </w:tcBorders>
            <w:vAlign w:val="top"/>
          </w:tcPr>
          <w:p w14:paraId="01B326F6">
            <w:pPr>
              <w:spacing w:line="306" w:lineRule="auto"/>
              <w:rPr>
                <w:rFonts w:ascii="Arial"/>
                <w:sz w:val="21"/>
              </w:rPr>
            </w:pPr>
          </w:p>
          <w:p w14:paraId="05CF6D4A">
            <w:pPr>
              <w:spacing w:line="307" w:lineRule="auto"/>
              <w:rPr>
                <w:rFonts w:ascii="Arial"/>
                <w:sz w:val="21"/>
              </w:rPr>
            </w:pPr>
          </w:p>
          <w:p w14:paraId="5AE7C757">
            <w:pPr>
              <w:spacing w:line="307" w:lineRule="auto"/>
              <w:rPr>
                <w:rFonts w:ascii="Arial"/>
                <w:sz w:val="21"/>
              </w:rPr>
            </w:pPr>
          </w:p>
          <w:p w14:paraId="152D0174">
            <w:pPr>
              <w:pStyle w:val="6"/>
              <w:spacing w:before="78" w:line="239" w:lineRule="auto"/>
              <w:ind w:left="218"/>
              <w:rPr>
                <w:sz w:val="24"/>
                <w:szCs w:val="24"/>
              </w:rPr>
            </w:pPr>
            <w:r>
              <w:rPr>
                <w:spacing w:val="-2"/>
                <w:sz w:val="24"/>
                <w:szCs w:val="24"/>
              </w:rPr>
              <w:t>2020.12</w:t>
            </w:r>
          </w:p>
        </w:tc>
      </w:tr>
      <w:tr w14:paraId="7A37B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124" w:type="dxa"/>
            <w:vAlign w:val="top"/>
          </w:tcPr>
          <w:p w14:paraId="724FBD0E">
            <w:pPr>
              <w:pStyle w:val="6"/>
              <w:spacing w:before="36" w:line="221" w:lineRule="auto"/>
              <w:ind w:left="194"/>
              <w:rPr>
                <w:sz w:val="24"/>
                <w:szCs w:val="24"/>
              </w:rPr>
            </w:pPr>
            <w:r>
              <w:rPr>
                <w:spacing w:val="4"/>
                <w:sz w:val="24"/>
                <w:szCs w:val="24"/>
              </w:rPr>
              <w:t>乡级及</w:t>
            </w:r>
          </w:p>
          <w:p w14:paraId="092A1853">
            <w:pPr>
              <w:pStyle w:val="6"/>
              <w:spacing w:before="10" w:line="225" w:lineRule="auto"/>
              <w:ind w:left="433" w:right="187" w:hanging="239"/>
              <w:rPr>
                <w:sz w:val="24"/>
                <w:szCs w:val="24"/>
              </w:rPr>
            </w:pPr>
            <w:r>
              <w:rPr>
                <w:spacing w:val="3"/>
                <w:sz w:val="24"/>
                <w:szCs w:val="24"/>
              </w:rPr>
              <w:t>以下道</w:t>
            </w:r>
            <w:r>
              <w:rPr>
                <w:spacing w:val="1"/>
                <w:sz w:val="24"/>
                <w:szCs w:val="24"/>
              </w:rPr>
              <w:t xml:space="preserve"> </w:t>
            </w:r>
            <w:r>
              <w:rPr>
                <w:sz w:val="24"/>
                <w:szCs w:val="24"/>
              </w:rPr>
              <w:t>路</w:t>
            </w:r>
          </w:p>
        </w:tc>
        <w:tc>
          <w:tcPr>
            <w:tcW w:w="1278" w:type="dxa"/>
            <w:vMerge w:val="continue"/>
            <w:tcBorders>
              <w:top w:val="nil"/>
            </w:tcBorders>
            <w:vAlign w:val="top"/>
          </w:tcPr>
          <w:p w14:paraId="18693FB3">
            <w:pPr>
              <w:rPr>
                <w:rFonts w:ascii="Arial"/>
                <w:sz w:val="21"/>
              </w:rPr>
            </w:pPr>
          </w:p>
        </w:tc>
        <w:tc>
          <w:tcPr>
            <w:tcW w:w="2577" w:type="dxa"/>
            <w:vAlign w:val="top"/>
          </w:tcPr>
          <w:p w14:paraId="26B013A2">
            <w:pPr>
              <w:pStyle w:val="6"/>
              <w:spacing w:before="183" w:line="241" w:lineRule="auto"/>
              <w:ind w:left="93" w:right="305" w:firstLine="479"/>
              <w:rPr>
                <w:sz w:val="24"/>
                <w:szCs w:val="24"/>
              </w:rPr>
            </w:pPr>
            <w:r>
              <w:rPr>
                <w:spacing w:val="1"/>
                <w:sz w:val="24"/>
                <w:szCs w:val="24"/>
              </w:rPr>
              <w:t>交通穿越一级保</w:t>
            </w:r>
            <w:r>
              <w:rPr>
                <w:sz w:val="24"/>
                <w:szCs w:val="24"/>
              </w:rPr>
              <w:t xml:space="preserve"> </w:t>
            </w:r>
            <w:r>
              <w:rPr>
                <w:spacing w:val="10"/>
                <w:sz w:val="24"/>
                <w:szCs w:val="24"/>
              </w:rPr>
              <w:t>护区</w:t>
            </w:r>
          </w:p>
        </w:tc>
        <w:tc>
          <w:tcPr>
            <w:tcW w:w="2237" w:type="dxa"/>
            <w:vAlign w:val="top"/>
          </w:tcPr>
          <w:p w14:paraId="520F8C1E">
            <w:pPr>
              <w:pStyle w:val="6"/>
              <w:spacing w:before="53" w:line="220" w:lineRule="auto"/>
              <w:ind w:left="575"/>
              <w:rPr>
                <w:sz w:val="24"/>
                <w:szCs w:val="24"/>
              </w:rPr>
            </w:pPr>
            <w:r>
              <w:rPr>
                <w:color w:val="303040"/>
                <w:spacing w:val="1"/>
                <w:sz w:val="24"/>
                <w:szCs w:val="24"/>
              </w:rPr>
              <w:t>建立视频监控</w:t>
            </w:r>
          </w:p>
          <w:p w14:paraId="3F072EA0">
            <w:pPr>
              <w:pStyle w:val="6"/>
              <w:spacing w:before="4" w:line="221" w:lineRule="auto"/>
              <w:ind w:left="85" w:right="180" w:firstLine="30"/>
              <w:rPr>
                <w:sz w:val="24"/>
                <w:szCs w:val="24"/>
              </w:rPr>
            </w:pPr>
            <w:r>
              <w:rPr>
                <w:spacing w:val="1"/>
                <w:sz w:val="24"/>
                <w:szCs w:val="24"/>
              </w:rPr>
              <w:t xml:space="preserve">系统、制定应急预 </w:t>
            </w:r>
            <w:r>
              <w:rPr>
                <w:sz w:val="24"/>
                <w:szCs w:val="24"/>
              </w:rPr>
              <w:t>案。</w:t>
            </w:r>
          </w:p>
        </w:tc>
        <w:tc>
          <w:tcPr>
            <w:tcW w:w="1293" w:type="dxa"/>
            <w:vMerge w:val="continue"/>
            <w:tcBorders>
              <w:top w:val="nil"/>
            </w:tcBorders>
            <w:vAlign w:val="top"/>
          </w:tcPr>
          <w:p w14:paraId="4276ADB5">
            <w:pPr>
              <w:rPr>
                <w:rFonts w:ascii="Arial"/>
                <w:sz w:val="21"/>
              </w:rPr>
            </w:pPr>
          </w:p>
        </w:tc>
      </w:tr>
      <w:tr w14:paraId="37479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124" w:type="dxa"/>
            <w:vAlign w:val="top"/>
          </w:tcPr>
          <w:p w14:paraId="69577C4C">
            <w:pPr>
              <w:spacing w:line="436" w:lineRule="auto"/>
              <w:rPr>
                <w:rFonts w:ascii="Arial"/>
                <w:sz w:val="21"/>
              </w:rPr>
            </w:pPr>
          </w:p>
          <w:p w14:paraId="1CFFD6FA">
            <w:pPr>
              <w:pStyle w:val="6"/>
              <w:spacing w:before="78" w:line="221" w:lineRule="auto"/>
              <w:ind w:left="315"/>
              <w:rPr>
                <w:sz w:val="24"/>
                <w:szCs w:val="24"/>
              </w:rPr>
            </w:pPr>
            <w:r>
              <w:rPr>
                <w:spacing w:val="15"/>
                <w:sz w:val="24"/>
                <w:szCs w:val="24"/>
              </w:rPr>
              <w:t>农田</w:t>
            </w:r>
          </w:p>
        </w:tc>
        <w:tc>
          <w:tcPr>
            <w:tcW w:w="1278" w:type="dxa"/>
            <w:vMerge w:val="restart"/>
            <w:tcBorders>
              <w:bottom w:val="nil"/>
            </w:tcBorders>
            <w:vAlign w:val="top"/>
          </w:tcPr>
          <w:p w14:paraId="370212D8">
            <w:pPr>
              <w:spacing w:line="262" w:lineRule="auto"/>
              <w:rPr>
                <w:rFonts w:ascii="Arial"/>
                <w:sz w:val="21"/>
              </w:rPr>
            </w:pPr>
          </w:p>
          <w:p w14:paraId="171CD3C7">
            <w:pPr>
              <w:spacing w:line="262" w:lineRule="auto"/>
              <w:rPr>
                <w:rFonts w:ascii="Arial"/>
                <w:sz w:val="21"/>
              </w:rPr>
            </w:pPr>
          </w:p>
          <w:p w14:paraId="74E596A4">
            <w:pPr>
              <w:spacing w:line="262" w:lineRule="auto"/>
              <w:rPr>
                <w:rFonts w:ascii="Arial"/>
                <w:sz w:val="21"/>
              </w:rPr>
            </w:pPr>
          </w:p>
          <w:p w14:paraId="046E4751">
            <w:pPr>
              <w:spacing w:line="262" w:lineRule="auto"/>
              <w:rPr>
                <w:rFonts w:ascii="Arial"/>
                <w:sz w:val="21"/>
              </w:rPr>
            </w:pPr>
          </w:p>
          <w:p w14:paraId="5F25FA4D">
            <w:pPr>
              <w:spacing w:line="262" w:lineRule="auto"/>
              <w:rPr>
                <w:rFonts w:ascii="Arial"/>
                <w:sz w:val="21"/>
              </w:rPr>
            </w:pPr>
          </w:p>
          <w:p w14:paraId="67BEEA89">
            <w:pPr>
              <w:spacing w:line="262" w:lineRule="auto"/>
              <w:rPr>
                <w:rFonts w:ascii="Arial"/>
                <w:sz w:val="21"/>
              </w:rPr>
            </w:pPr>
          </w:p>
          <w:p w14:paraId="1E63413D">
            <w:pPr>
              <w:spacing w:line="262" w:lineRule="auto"/>
              <w:rPr>
                <w:rFonts w:ascii="Arial"/>
                <w:sz w:val="21"/>
              </w:rPr>
            </w:pPr>
          </w:p>
          <w:p w14:paraId="7607E1C2">
            <w:pPr>
              <w:pStyle w:val="6"/>
              <w:spacing w:before="78" w:line="248" w:lineRule="auto"/>
              <w:ind w:left="510" w:right="139" w:hanging="360"/>
              <w:rPr>
                <w:sz w:val="24"/>
                <w:szCs w:val="24"/>
              </w:rPr>
            </w:pPr>
            <w:r>
              <w:rPr>
                <w:spacing w:val="4"/>
                <w:sz w:val="24"/>
                <w:szCs w:val="24"/>
              </w:rPr>
              <w:t>二级保护</w:t>
            </w:r>
            <w:r>
              <w:rPr>
                <w:sz w:val="24"/>
                <w:szCs w:val="24"/>
              </w:rPr>
              <w:t xml:space="preserve"> 区</w:t>
            </w:r>
          </w:p>
        </w:tc>
        <w:tc>
          <w:tcPr>
            <w:tcW w:w="2577" w:type="dxa"/>
            <w:vAlign w:val="top"/>
          </w:tcPr>
          <w:p w14:paraId="4BAC7816">
            <w:pPr>
              <w:pStyle w:val="6"/>
              <w:spacing w:before="64" w:line="219" w:lineRule="auto"/>
              <w:ind w:left="613"/>
              <w:rPr>
                <w:sz w:val="24"/>
                <w:szCs w:val="24"/>
              </w:rPr>
            </w:pPr>
            <w:r>
              <w:rPr>
                <w:spacing w:val="1"/>
                <w:sz w:val="24"/>
                <w:szCs w:val="24"/>
              </w:rPr>
              <w:t>主要种植玉米等</w:t>
            </w:r>
          </w:p>
          <w:p w14:paraId="5EC7186D">
            <w:pPr>
              <w:pStyle w:val="6"/>
              <w:spacing w:before="3" w:line="227" w:lineRule="auto"/>
              <w:ind w:left="103"/>
              <w:rPr>
                <w:sz w:val="24"/>
                <w:szCs w:val="24"/>
              </w:rPr>
            </w:pPr>
            <w:r>
              <w:rPr>
                <w:spacing w:val="6"/>
                <w:sz w:val="24"/>
                <w:szCs w:val="24"/>
              </w:rPr>
              <w:t>农作物，使用复合肥、</w:t>
            </w:r>
            <w:r>
              <w:rPr>
                <w:spacing w:val="2"/>
                <w:sz w:val="24"/>
                <w:szCs w:val="24"/>
              </w:rPr>
              <w:t xml:space="preserve"> </w:t>
            </w:r>
            <w:r>
              <w:rPr>
                <w:color w:val="405050"/>
                <w:spacing w:val="-2"/>
                <w:sz w:val="24"/>
                <w:szCs w:val="24"/>
              </w:rPr>
              <w:t>农药及除草剂，</w:t>
            </w:r>
            <w:r>
              <w:rPr>
                <w:spacing w:val="-2"/>
                <w:sz w:val="24"/>
                <w:szCs w:val="24"/>
              </w:rPr>
              <w:t>对饮用</w:t>
            </w:r>
            <w:r>
              <w:rPr>
                <w:spacing w:val="3"/>
                <w:sz w:val="24"/>
                <w:szCs w:val="24"/>
              </w:rPr>
              <w:t xml:space="preserve"> </w:t>
            </w:r>
            <w:r>
              <w:rPr>
                <w:color w:val="405050"/>
                <w:spacing w:val="-5"/>
                <w:sz w:val="24"/>
                <w:szCs w:val="24"/>
              </w:rPr>
              <w:t>水源造成面源污染。</w:t>
            </w:r>
          </w:p>
        </w:tc>
        <w:tc>
          <w:tcPr>
            <w:tcW w:w="2237" w:type="dxa"/>
            <w:vMerge w:val="restart"/>
            <w:tcBorders>
              <w:bottom w:val="nil"/>
            </w:tcBorders>
            <w:vAlign w:val="top"/>
          </w:tcPr>
          <w:p w14:paraId="734EBD59">
            <w:pPr>
              <w:spacing w:line="257" w:lineRule="auto"/>
              <w:rPr>
                <w:rFonts w:ascii="Arial"/>
                <w:sz w:val="21"/>
              </w:rPr>
            </w:pPr>
          </w:p>
          <w:p w14:paraId="6C261027">
            <w:pPr>
              <w:spacing w:line="257" w:lineRule="auto"/>
              <w:rPr>
                <w:rFonts w:ascii="Arial"/>
                <w:sz w:val="21"/>
              </w:rPr>
            </w:pPr>
          </w:p>
          <w:p w14:paraId="1F3F0213">
            <w:pPr>
              <w:spacing w:line="257" w:lineRule="auto"/>
              <w:rPr>
                <w:rFonts w:ascii="Arial"/>
                <w:sz w:val="21"/>
              </w:rPr>
            </w:pPr>
          </w:p>
          <w:p w14:paraId="1387B648">
            <w:pPr>
              <w:spacing w:line="257" w:lineRule="auto"/>
              <w:rPr>
                <w:rFonts w:ascii="Arial"/>
                <w:sz w:val="21"/>
              </w:rPr>
            </w:pPr>
          </w:p>
          <w:p w14:paraId="58C1E0C7">
            <w:pPr>
              <w:spacing w:line="258" w:lineRule="auto"/>
              <w:rPr>
                <w:rFonts w:ascii="Arial"/>
                <w:sz w:val="21"/>
              </w:rPr>
            </w:pPr>
          </w:p>
          <w:p w14:paraId="10DAFD41">
            <w:pPr>
              <w:spacing w:line="258" w:lineRule="auto"/>
              <w:rPr>
                <w:rFonts w:ascii="Arial"/>
                <w:sz w:val="21"/>
              </w:rPr>
            </w:pPr>
          </w:p>
          <w:p w14:paraId="3678BEBB">
            <w:pPr>
              <w:pStyle w:val="6"/>
              <w:spacing w:before="78" w:line="231" w:lineRule="auto"/>
              <w:ind w:left="95" w:right="187" w:firstLine="489"/>
              <w:rPr>
                <w:sz w:val="24"/>
                <w:szCs w:val="24"/>
              </w:rPr>
            </w:pPr>
            <w:r>
              <w:rPr>
                <w:spacing w:val="2"/>
                <w:sz w:val="24"/>
                <w:szCs w:val="24"/>
              </w:rPr>
              <w:t>饮用水水源二</w:t>
            </w:r>
            <w:r>
              <w:rPr>
                <w:sz w:val="24"/>
                <w:szCs w:val="24"/>
              </w:rPr>
              <w:t xml:space="preserve"> </w:t>
            </w:r>
            <w:r>
              <w:rPr>
                <w:spacing w:val="2"/>
                <w:sz w:val="24"/>
                <w:szCs w:val="24"/>
              </w:rPr>
              <w:t>级保护区内农业种</w:t>
            </w:r>
          </w:p>
          <w:p w14:paraId="1990CECB">
            <w:pPr>
              <w:pStyle w:val="6"/>
              <w:spacing w:line="218" w:lineRule="auto"/>
              <w:ind w:left="95"/>
              <w:rPr>
                <w:sz w:val="24"/>
                <w:szCs w:val="24"/>
              </w:rPr>
            </w:pPr>
            <w:r>
              <w:rPr>
                <w:color w:val="506060"/>
                <w:spacing w:val="2"/>
                <w:sz w:val="24"/>
                <w:szCs w:val="24"/>
              </w:rPr>
              <w:t>植实行科学种植和</w:t>
            </w:r>
          </w:p>
          <w:p w14:paraId="312E4F48">
            <w:pPr>
              <w:pStyle w:val="6"/>
              <w:spacing w:before="27" w:line="220" w:lineRule="auto"/>
              <w:ind w:left="105"/>
              <w:rPr>
                <w:sz w:val="24"/>
                <w:szCs w:val="24"/>
              </w:rPr>
            </w:pPr>
            <w:r>
              <w:rPr>
                <w:sz w:val="24"/>
                <w:szCs w:val="24"/>
              </w:rPr>
              <w:t>非点源污染防治。</w:t>
            </w:r>
          </w:p>
        </w:tc>
        <w:tc>
          <w:tcPr>
            <w:tcW w:w="1293" w:type="dxa"/>
            <w:vMerge w:val="restart"/>
            <w:tcBorders>
              <w:bottom w:val="nil"/>
            </w:tcBorders>
            <w:vAlign w:val="top"/>
          </w:tcPr>
          <w:p w14:paraId="5EC673CD">
            <w:pPr>
              <w:spacing w:line="242" w:lineRule="auto"/>
              <w:rPr>
                <w:rFonts w:ascii="Arial"/>
                <w:sz w:val="21"/>
              </w:rPr>
            </w:pPr>
          </w:p>
          <w:p w14:paraId="0DB70EEB">
            <w:pPr>
              <w:spacing w:line="242" w:lineRule="auto"/>
              <w:rPr>
                <w:rFonts w:ascii="Arial"/>
                <w:sz w:val="21"/>
              </w:rPr>
            </w:pPr>
          </w:p>
          <w:p w14:paraId="6DB52387">
            <w:pPr>
              <w:spacing w:line="242" w:lineRule="auto"/>
              <w:rPr>
                <w:rFonts w:ascii="Arial"/>
                <w:sz w:val="21"/>
              </w:rPr>
            </w:pPr>
          </w:p>
          <w:p w14:paraId="579010B1">
            <w:pPr>
              <w:spacing w:line="243" w:lineRule="auto"/>
              <w:rPr>
                <w:rFonts w:ascii="Arial"/>
                <w:sz w:val="21"/>
              </w:rPr>
            </w:pPr>
          </w:p>
          <w:p w14:paraId="467611B4">
            <w:pPr>
              <w:spacing w:line="243" w:lineRule="auto"/>
              <w:rPr>
                <w:rFonts w:ascii="Arial"/>
                <w:sz w:val="21"/>
              </w:rPr>
            </w:pPr>
          </w:p>
          <w:p w14:paraId="7F8D60BB">
            <w:pPr>
              <w:spacing w:line="243" w:lineRule="auto"/>
              <w:rPr>
                <w:rFonts w:ascii="Arial"/>
                <w:sz w:val="21"/>
              </w:rPr>
            </w:pPr>
          </w:p>
          <w:p w14:paraId="28AE0A93">
            <w:pPr>
              <w:spacing w:line="243" w:lineRule="auto"/>
              <w:rPr>
                <w:rFonts w:ascii="Arial"/>
                <w:sz w:val="21"/>
              </w:rPr>
            </w:pPr>
          </w:p>
          <w:p w14:paraId="63F5B109">
            <w:pPr>
              <w:pStyle w:val="6"/>
              <w:spacing w:before="78" w:line="224" w:lineRule="auto"/>
              <w:ind w:left="159" w:right="91" w:hanging="60"/>
              <w:rPr>
                <w:sz w:val="24"/>
                <w:szCs w:val="24"/>
              </w:rPr>
            </w:pPr>
            <w:r>
              <w:rPr>
                <w:spacing w:val="1"/>
                <w:sz w:val="24"/>
                <w:szCs w:val="24"/>
              </w:rPr>
              <w:t>2020.12前</w:t>
            </w:r>
            <w:r>
              <w:rPr>
                <w:spacing w:val="3"/>
                <w:sz w:val="24"/>
                <w:szCs w:val="24"/>
              </w:rPr>
              <w:t xml:space="preserve"> 制定方案</w:t>
            </w:r>
          </w:p>
          <w:p w14:paraId="70A81516">
            <w:pPr>
              <w:pStyle w:val="6"/>
              <w:spacing w:before="15" w:line="219" w:lineRule="auto"/>
              <w:ind w:left="109"/>
              <w:rPr>
                <w:sz w:val="24"/>
                <w:szCs w:val="24"/>
              </w:rPr>
            </w:pPr>
            <w:r>
              <w:rPr>
                <w:color w:val="605060"/>
                <w:spacing w:val="3"/>
                <w:sz w:val="24"/>
                <w:szCs w:val="24"/>
              </w:rPr>
              <w:t>并实施</w:t>
            </w:r>
          </w:p>
        </w:tc>
      </w:tr>
      <w:tr w14:paraId="660B6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8" w:hRule="atLeast"/>
        </w:trPr>
        <w:tc>
          <w:tcPr>
            <w:tcW w:w="1124" w:type="dxa"/>
            <w:vAlign w:val="top"/>
          </w:tcPr>
          <w:p w14:paraId="2795B64A">
            <w:pPr>
              <w:spacing w:line="425" w:lineRule="auto"/>
              <w:rPr>
                <w:rFonts w:ascii="Arial"/>
                <w:sz w:val="21"/>
              </w:rPr>
            </w:pPr>
          </w:p>
          <w:p w14:paraId="61326F9F">
            <w:pPr>
              <w:pStyle w:val="6"/>
              <w:spacing w:before="78" w:line="219" w:lineRule="auto"/>
              <w:ind w:left="194"/>
              <w:rPr>
                <w:sz w:val="24"/>
                <w:szCs w:val="24"/>
              </w:rPr>
            </w:pPr>
            <w:r>
              <w:rPr>
                <w:spacing w:val="3"/>
                <w:sz w:val="24"/>
                <w:szCs w:val="24"/>
              </w:rPr>
              <w:t>蔬菜大</w:t>
            </w:r>
          </w:p>
          <w:p w14:paraId="4A6B1CCB">
            <w:pPr>
              <w:pStyle w:val="6"/>
              <w:spacing w:before="25" w:line="220" w:lineRule="auto"/>
              <w:ind w:left="434"/>
              <w:rPr>
                <w:sz w:val="24"/>
                <w:szCs w:val="24"/>
              </w:rPr>
            </w:pPr>
            <w:r>
              <w:rPr>
                <w:sz w:val="24"/>
                <w:szCs w:val="24"/>
              </w:rPr>
              <w:t>棚</w:t>
            </w:r>
          </w:p>
        </w:tc>
        <w:tc>
          <w:tcPr>
            <w:tcW w:w="1278" w:type="dxa"/>
            <w:vMerge w:val="continue"/>
            <w:tcBorders>
              <w:top w:val="nil"/>
              <w:bottom w:val="nil"/>
            </w:tcBorders>
            <w:vAlign w:val="top"/>
          </w:tcPr>
          <w:p w14:paraId="00BB19D5">
            <w:pPr>
              <w:rPr>
                <w:rFonts w:ascii="Arial"/>
                <w:sz w:val="21"/>
              </w:rPr>
            </w:pPr>
          </w:p>
        </w:tc>
        <w:tc>
          <w:tcPr>
            <w:tcW w:w="2577" w:type="dxa"/>
            <w:vAlign w:val="top"/>
          </w:tcPr>
          <w:p w14:paraId="77D61F4D">
            <w:pPr>
              <w:pStyle w:val="6"/>
              <w:spacing w:before="24" w:line="241" w:lineRule="auto"/>
              <w:ind w:left="103" w:right="22" w:firstLine="489"/>
              <w:rPr>
                <w:sz w:val="24"/>
                <w:szCs w:val="24"/>
              </w:rPr>
            </w:pPr>
            <w:r>
              <w:rPr>
                <w:spacing w:val="3"/>
                <w:sz w:val="24"/>
                <w:szCs w:val="24"/>
              </w:rPr>
              <w:t>主要种植黄瓜、白</w:t>
            </w:r>
            <w:r>
              <w:rPr>
                <w:spacing w:val="5"/>
                <w:sz w:val="24"/>
                <w:szCs w:val="24"/>
              </w:rPr>
              <w:t xml:space="preserve"> </w:t>
            </w:r>
            <w:r>
              <w:rPr>
                <w:spacing w:val="-1"/>
                <w:sz w:val="24"/>
                <w:szCs w:val="24"/>
              </w:rPr>
              <w:t>菜等蔬菜，使用复合</w:t>
            </w:r>
          </w:p>
          <w:p w14:paraId="00D1C76B">
            <w:pPr>
              <w:pStyle w:val="6"/>
              <w:spacing w:before="14" w:line="239" w:lineRule="auto"/>
              <w:ind w:left="93" w:right="73" w:firstLine="10"/>
              <w:rPr>
                <w:sz w:val="24"/>
                <w:szCs w:val="24"/>
              </w:rPr>
            </w:pPr>
            <w:r>
              <w:rPr>
                <w:spacing w:val="-1"/>
                <w:sz w:val="24"/>
                <w:szCs w:val="24"/>
              </w:rPr>
              <w:t>肥、农药及除草剂，对</w:t>
            </w:r>
            <w:r>
              <w:rPr>
                <w:sz w:val="24"/>
                <w:szCs w:val="24"/>
              </w:rPr>
              <w:t xml:space="preserve"> </w:t>
            </w:r>
            <w:r>
              <w:rPr>
                <w:spacing w:val="1"/>
                <w:sz w:val="24"/>
                <w:szCs w:val="24"/>
              </w:rPr>
              <w:t>饮用水源造成面源污</w:t>
            </w:r>
          </w:p>
          <w:p w14:paraId="607DDED1">
            <w:pPr>
              <w:pStyle w:val="6"/>
              <w:spacing w:before="1" w:line="200" w:lineRule="auto"/>
              <w:ind w:left="83"/>
              <w:rPr>
                <w:sz w:val="24"/>
                <w:szCs w:val="24"/>
              </w:rPr>
            </w:pPr>
            <w:r>
              <w:rPr>
                <w:sz w:val="24"/>
                <w:szCs w:val="24"/>
              </w:rPr>
              <w:t>染</w:t>
            </w:r>
          </w:p>
        </w:tc>
        <w:tc>
          <w:tcPr>
            <w:tcW w:w="2237" w:type="dxa"/>
            <w:vMerge w:val="continue"/>
            <w:tcBorders>
              <w:top w:val="nil"/>
              <w:bottom w:val="nil"/>
            </w:tcBorders>
            <w:vAlign w:val="top"/>
          </w:tcPr>
          <w:p w14:paraId="713FA7D2">
            <w:pPr>
              <w:rPr>
                <w:rFonts w:ascii="Arial"/>
                <w:sz w:val="21"/>
              </w:rPr>
            </w:pPr>
          </w:p>
        </w:tc>
        <w:tc>
          <w:tcPr>
            <w:tcW w:w="1293" w:type="dxa"/>
            <w:vMerge w:val="continue"/>
            <w:tcBorders>
              <w:top w:val="nil"/>
              <w:bottom w:val="nil"/>
            </w:tcBorders>
            <w:vAlign w:val="top"/>
          </w:tcPr>
          <w:p w14:paraId="4CF52818">
            <w:pPr>
              <w:rPr>
                <w:rFonts w:ascii="Arial"/>
                <w:sz w:val="21"/>
              </w:rPr>
            </w:pPr>
          </w:p>
        </w:tc>
      </w:tr>
      <w:tr w14:paraId="6D322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1124" w:type="dxa"/>
            <w:vAlign w:val="top"/>
          </w:tcPr>
          <w:p w14:paraId="6FE920E2">
            <w:pPr>
              <w:spacing w:line="293" w:lineRule="auto"/>
              <w:rPr>
                <w:rFonts w:ascii="Arial"/>
                <w:sz w:val="21"/>
              </w:rPr>
            </w:pPr>
          </w:p>
          <w:p w14:paraId="666E72AB">
            <w:pPr>
              <w:spacing w:line="293" w:lineRule="auto"/>
              <w:rPr>
                <w:rFonts w:ascii="Arial"/>
                <w:sz w:val="21"/>
              </w:rPr>
            </w:pPr>
          </w:p>
          <w:p w14:paraId="6091B305">
            <w:pPr>
              <w:pStyle w:val="6"/>
              <w:spacing w:before="78" w:line="219" w:lineRule="auto"/>
              <w:ind w:left="315"/>
              <w:rPr>
                <w:sz w:val="24"/>
                <w:szCs w:val="24"/>
              </w:rPr>
            </w:pPr>
            <w:r>
              <w:rPr>
                <w:color w:val="506060"/>
                <w:spacing w:val="-3"/>
                <w:sz w:val="24"/>
                <w:szCs w:val="24"/>
              </w:rPr>
              <w:t>林地</w:t>
            </w:r>
          </w:p>
        </w:tc>
        <w:tc>
          <w:tcPr>
            <w:tcW w:w="1278" w:type="dxa"/>
            <w:vMerge w:val="continue"/>
            <w:tcBorders>
              <w:top w:val="nil"/>
            </w:tcBorders>
            <w:vAlign w:val="top"/>
          </w:tcPr>
          <w:p w14:paraId="49E3086F">
            <w:pPr>
              <w:rPr>
                <w:rFonts w:ascii="Arial"/>
                <w:sz w:val="21"/>
              </w:rPr>
            </w:pPr>
          </w:p>
        </w:tc>
        <w:tc>
          <w:tcPr>
            <w:tcW w:w="2577" w:type="dxa"/>
            <w:vAlign w:val="top"/>
          </w:tcPr>
          <w:p w14:paraId="11277123">
            <w:pPr>
              <w:pStyle w:val="6"/>
              <w:spacing w:before="38" w:line="238" w:lineRule="auto"/>
              <w:ind w:left="113" w:firstLine="467"/>
              <w:rPr>
                <w:sz w:val="24"/>
                <w:szCs w:val="24"/>
              </w:rPr>
            </w:pPr>
            <w:r>
              <w:rPr>
                <w:spacing w:val="8"/>
                <w:sz w:val="24"/>
                <w:szCs w:val="24"/>
              </w:rPr>
              <w:t>主要种植李、杏、</w:t>
            </w:r>
            <w:r>
              <w:rPr>
                <w:spacing w:val="1"/>
                <w:sz w:val="24"/>
                <w:szCs w:val="24"/>
              </w:rPr>
              <w:t xml:space="preserve"> </w:t>
            </w:r>
            <w:r>
              <w:rPr>
                <w:spacing w:val="-24"/>
                <w:sz w:val="24"/>
                <w:szCs w:val="24"/>
              </w:rPr>
              <w:t>苹</w:t>
            </w:r>
            <w:r>
              <w:rPr>
                <w:spacing w:val="-18"/>
                <w:sz w:val="24"/>
                <w:szCs w:val="24"/>
              </w:rPr>
              <w:t xml:space="preserve"> </w:t>
            </w:r>
            <w:r>
              <w:rPr>
                <w:spacing w:val="-24"/>
                <w:sz w:val="24"/>
                <w:szCs w:val="24"/>
              </w:rPr>
              <w:t>果</w:t>
            </w:r>
            <w:r>
              <w:rPr>
                <w:spacing w:val="-40"/>
                <w:sz w:val="24"/>
                <w:szCs w:val="24"/>
              </w:rPr>
              <w:t xml:space="preserve"> </w:t>
            </w:r>
            <w:r>
              <w:rPr>
                <w:spacing w:val="-24"/>
                <w:sz w:val="24"/>
                <w:szCs w:val="24"/>
              </w:rPr>
              <w:t>、</w:t>
            </w:r>
            <w:r>
              <w:rPr>
                <w:color w:val="404050"/>
                <w:spacing w:val="-24"/>
                <w:sz w:val="24"/>
                <w:szCs w:val="24"/>
              </w:rPr>
              <w:t>山楂等水果，</w:t>
            </w:r>
            <w:r>
              <w:rPr>
                <w:spacing w:val="-24"/>
                <w:sz w:val="24"/>
                <w:szCs w:val="24"/>
              </w:rPr>
              <w:t>使</w:t>
            </w:r>
          </w:p>
          <w:p w14:paraId="5FEDEAA8">
            <w:pPr>
              <w:pStyle w:val="6"/>
              <w:spacing w:line="218" w:lineRule="auto"/>
              <w:ind w:left="113"/>
              <w:rPr>
                <w:sz w:val="24"/>
                <w:szCs w:val="24"/>
              </w:rPr>
            </w:pPr>
            <w:r>
              <w:rPr>
                <w:color w:val="304040"/>
                <w:spacing w:val="1"/>
                <w:sz w:val="24"/>
                <w:szCs w:val="24"/>
              </w:rPr>
              <w:t>用复合肥、农药及除草</w:t>
            </w:r>
          </w:p>
          <w:p w14:paraId="779F6DA0">
            <w:pPr>
              <w:pStyle w:val="6"/>
              <w:spacing w:before="34" w:line="222" w:lineRule="auto"/>
              <w:ind w:left="93" w:right="82"/>
              <w:rPr>
                <w:sz w:val="24"/>
                <w:szCs w:val="24"/>
              </w:rPr>
            </w:pPr>
            <w:r>
              <w:rPr>
                <w:spacing w:val="-20"/>
                <w:sz w:val="24"/>
                <w:szCs w:val="24"/>
              </w:rPr>
              <w:t>剂</w:t>
            </w:r>
            <w:r>
              <w:rPr>
                <w:spacing w:val="70"/>
                <w:sz w:val="24"/>
                <w:szCs w:val="24"/>
              </w:rPr>
              <w:t xml:space="preserve"> </w:t>
            </w:r>
            <w:r>
              <w:rPr>
                <w:spacing w:val="-20"/>
                <w:sz w:val="24"/>
                <w:szCs w:val="24"/>
              </w:rPr>
              <w:t>，</w:t>
            </w:r>
            <w:r>
              <w:rPr>
                <w:color w:val="405050"/>
                <w:spacing w:val="-20"/>
                <w:sz w:val="24"/>
                <w:szCs w:val="24"/>
              </w:rPr>
              <w:t>对饮用水源造成面</w:t>
            </w:r>
            <w:r>
              <w:rPr>
                <w:color w:val="405050"/>
                <w:sz w:val="24"/>
                <w:szCs w:val="24"/>
              </w:rPr>
              <w:t xml:space="preserve"> </w:t>
            </w:r>
            <w:r>
              <w:rPr>
                <w:spacing w:val="-1"/>
                <w:sz w:val="24"/>
                <w:szCs w:val="24"/>
              </w:rPr>
              <w:t>源污染。</w:t>
            </w:r>
          </w:p>
        </w:tc>
        <w:tc>
          <w:tcPr>
            <w:tcW w:w="2237" w:type="dxa"/>
            <w:vMerge w:val="continue"/>
            <w:tcBorders>
              <w:top w:val="nil"/>
            </w:tcBorders>
            <w:vAlign w:val="top"/>
          </w:tcPr>
          <w:p w14:paraId="0EB6D394">
            <w:pPr>
              <w:rPr>
                <w:rFonts w:ascii="Arial"/>
                <w:sz w:val="21"/>
              </w:rPr>
            </w:pPr>
          </w:p>
        </w:tc>
        <w:tc>
          <w:tcPr>
            <w:tcW w:w="1293" w:type="dxa"/>
            <w:vMerge w:val="continue"/>
            <w:tcBorders>
              <w:top w:val="nil"/>
            </w:tcBorders>
            <w:vAlign w:val="top"/>
          </w:tcPr>
          <w:p w14:paraId="0D30B361">
            <w:pPr>
              <w:rPr>
                <w:rFonts w:ascii="Arial"/>
                <w:sz w:val="21"/>
              </w:rPr>
            </w:pPr>
          </w:p>
        </w:tc>
      </w:tr>
    </w:tbl>
    <w:p w14:paraId="5FAC55BE">
      <w:pPr>
        <w:spacing w:line="165" w:lineRule="exact"/>
        <w:rPr>
          <w:rFonts w:ascii="Arial"/>
          <w:sz w:val="14"/>
        </w:rPr>
      </w:pPr>
    </w:p>
    <w:p w14:paraId="6F2F3BB8">
      <w:pPr>
        <w:spacing w:line="165" w:lineRule="exact"/>
        <w:rPr>
          <w:rFonts w:ascii="Arial" w:hAnsi="Arial" w:eastAsia="Arial" w:cs="Arial"/>
          <w:sz w:val="14"/>
          <w:szCs w:val="14"/>
        </w:rPr>
        <w:sectPr>
          <w:footerReference r:id="rId46" w:type="default"/>
          <w:pgSz w:w="11910" w:h="16850"/>
          <w:pgMar w:top="1432" w:right="1645" w:bottom="1379" w:left="1645" w:header="0" w:footer="1235" w:gutter="0"/>
          <w:cols w:space="720" w:num="1"/>
        </w:sectPr>
      </w:pPr>
    </w:p>
    <w:p w14:paraId="5AE70A64">
      <w:pPr>
        <w:spacing w:line="364" w:lineRule="auto"/>
        <w:rPr>
          <w:rFonts w:ascii="Arial"/>
          <w:sz w:val="21"/>
        </w:rPr>
      </w:pPr>
    </w:p>
    <w:p w14:paraId="0AFA753B">
      <w:pPr>
        <w:spacing w:before="101" w:line="221" w:lineRule="auto"/>
        <w:ind w:left="95"/>
        <w:rPr>
          <w:rFonts w:ascii="宋体" w:hAnsi="宋体" w:eastAsia="宋体" w:cs="宋体"/>
          <w:sz w:val="31"/>
          <w:szCs w:val="31"/>
        </w:rPr>
      </w:pPr>
      <w:r>
        <w:rPr>
          <w:rFonts w:ascii="宋体" w:hAnsi="宋体" w:eastAsia="宋体" w:cs="宋体"/>
          <w:spacing w:val="-7"/>
          <w:sz w:val="31"/>
          <w:szCs w:val="31"/>
        </w:rPr>
        <w:t>4、</w:t>
      </w:r>
      <w:r>
        <w:rPr>
          <w:rFonts w:ascii="宋体" w:hAnsi="宋体" w:eastAsia="宋体" w:cs="宋体"/>
          <w:b/>
          <w:bCs/>
          <w:spacing w:val="-7"/>
          <w:sz w:val="31"/>
          <w:szCs w:val="31"/>
        </w:rPr>
        <w:t>应急资源调查</w:t>
      </w:r>
    </w:p>
    <w:p w14:paraId="78C0EAA1">
      <w:pPr>
        <w:spacing w:before="219" w:line="356" w:lineRule="auto"/>
        <w:ind w:left="95" w:right="154" w:firstLine="489"/>
        <w:jc w:val="both"/>
        <w:rPr>
          <w:rFonts w:ascii="宋体" w:hAnsi="宋体" w:eastAsia="宋体" w:cs="宋体"/>
          <w:sz w:val="24"/>
          <w:szCs w:val="24"/>
        </w:rPr>
      </w:pPr>
      <w:r>
        <w:rPr>
          <w:rFonts w:ascii="宋体" w:hAnsi="宋体" w:eastAsia="宋体" w:cs="宋体"/>
          <w:spacing w:val="-2"/>
          <w:sz w:val="24"/>
          <w:szCs w:val="24"/>
        </w:rPr>
        <w:t>石拐区政府及其相关部门、</w:t>
      </w:r>
      <w:r>
        <w:rPr>
          <w:rFonts w:ascii="宋体" w:hAnsi="宋体" w:eastAsia="宋体" w:cs="宋体"/>
          <w:color w:val="607070"/>
          <w:spacing w:val="-2"/>
          <w:sz w:val="24"/>
          <w:szCs w:val="24"/>
        </w:rPr>
        <w:t>单位按照职责分工，组织做好环</w:t>
      </w:r>
      <w:r>
        <w:rPr>
          <w:rFonts w:ascii="宋体" w:hAnsi="宋体" w:eastAsia="宋体" w:cs="宋体"/>
          <w:color w:val="607070"/>
          <w:spacing w:val="-3"/>
          <w:sz w:val="24"/>
          <w:szCs w:val="24"/>
        </w:rPr>
        <w:t>境应急救援物资</w:t>
      </w:r>
      <w:r>
        <w:rPr>
          <w:rFonts w:ascii="宋体" w:hAnsi="宋体" w:eastAsia="宋体" w:cs="宋体"/>
          <w:color w:val="607070"/>
          <w:sz w:val="24"/>
          <w:szCs w:val="24"/>
        </w:rPr>
        <w:t xml:space="preserve"> </w:t>
      </w:r>
      <w:r>
        <w:rPr>
          <w:rFonts w:ascii="宋体" w:hAnsi="宋体" w:eastAsia="宋体" w:cs="宋体"/>
          <w:spacing w:val="-2"/>
          <w:sz w:val="24"/>
          <w:szCs w:val="24"/>
        </w:rPr>
        <w:t>的紧急生产、储备调拨和紧急配送工作，保障支援突发</w:t>
      </w:r>
      <w:r>
        <w:rPr>
          <w:rFonts w:ascii="宋体" w:hAnsi="宋体" w:eastAsia="宋体" w:cs="宋体"/>
          <w:spacing w:val="-3"/>
          <w:sz w:val="24"/>
          <w:szCs w:val="24"/>
        </w:rPr>
        <w:t>环境事件应急处置和环境</w:t>
      </w:r>
      <w:r>
        <w:rPr>
          <w:rFonts w:ascii="宋体" w:hAnsi="宋体" w:eastAsia="宋体" w:cs="宋体"/>
          <w:sz w:val="24"/>
          <w:szCs w:val="24"/>
        </w:rPr>
        <w:t xml:space="preserve"> </w:t>
      </w:r>
      <w:r>
        <w:rPr>
          <w:rFonts w:ascii="宋体" w:hAnsi="宋体" w:eastAsia="宋体" w:cs="宋体"/>
          <w:spacing w:val="-1"/>
          <w:sz w:val="24"/>
          <w:szCs w:val="24"/>
        </w:rPr>
        <w:t>恢复治理工作的需要。加强应急物资储备，</w:t>
      </w:r>
      <w:r>
        <w:rPr>
          <w:rFonts w:ascii="宋体" w:hAnsi="宋体" w:eastAsia="宋体" w:cs="宋体"/>
          <w:spacing w:val="-2"/>
          <w:sz w:val="24"/>
          <w:szCs w:val="24"/>
        </w:rPr>
        <w:t>鼓励支持社会化应急物资储备，保障</w:t>
      </w:r>
      <w:r>
        <w:rPr>
          <w:rFonts w:ascii="宋体" w:hAnsi="宋体" w:eastAsia="宋体" w:cs="宋体"/>
          <w:sz w:val="24"/>
          <w:szCs w:val="24"/>
        </w:rPr>
        <w:t xml:space="preserve"> </w:t>
      </w:r>
      <w:r>
        <w:rPr>
          <w:rFonts w:ascii="宋体" w:hAnsi="宋体" w:eastAsia="宋体" w:cs="宋体"/>
          <w:spacing w:val="-2"/>
          <w:sz w:val="24"/>
          <w:szCs w:val="24"/>
        </w:rPr>
        <w:t>应急物资、生活必需品的生产和供给石拐区水源地突发环境事件</w:t>
      </w:r>
      <w:r>
        <w:rPr>
          <w:rFonts w:ascii="宋体" w:hAnsi="宋体" w:eastAsia="宋体" w:cs="宋体"/>
          <w:spacing w:val="-3"/>
          <w:sz w:val="24"/>
          <w:szCs w:val="24"/>
        </w:rPr>
        <w:t>应急物资由包头</w:t>
      </w:r>
      <w:r>
        <w:rPr>
          <w:rFonts w:ascii="宋体" w:hAnsi="宋体" w:eastAsia="宋体" w:cs="宋体"/>
          <w:sz w:val="24"/>
          <w:szCs w:val="24"/>
        </w:rPr>
        <w:t xml:space="preserve"> </w:t>
      </w:r>
      <w:r>
        <w:rPr>
          <w:rFonts w:ascii="宋体" w:hAnsi="宋体" w:eastAsia="宋体" w:cs="宋体"/>
          <w:spacing w:val="-2"/>
          <w:sz w:val="24"/>
          <w:szCs w:val="24"/>
        </w:rPr>
        <w:t>市生态环境局和石拐区住建局统一管理。包头市石拐区水源地突发环</w:t>
      </w:r>
      <w:r>
        <w:rPr>
          <w:rFonts w:ascii="宋体" w:hAnsi="宋体" w:eastAsia="宋体" w:cs="宋体"/>
          <w:spacing w:val="-3"/>
          <w:sz w:val="24"/>
          <w:szCs w:val="24"/>
        </w:rPr>
        <w:t>境事件应急</w:t>
      </w:r>
      <w:r>
        <w:rPr>
          <w:rFonts w:ascii="宋体" w:hAnsi="宋体" w:eastAsia="宋体" w:cs="宋体"/>
          <w:sz w:val="24"/>
          <w:szCs w:val="24"/>
        </w:rPr>
        <w:t xml:space="preserve"> 物资储备情况见表4-2。</w:t>
      </w:r>
    </w:p>
    <w:p w14:paraId="4130236C">
      <w:pPr>
        <w:spacing w:before="59" w:line="219" w:lineRule="auto"/>
        <w:ind w:left="1328"/>
        <w:rPr>
          <w:rFonts w:ascii="宋体" w:hAnsi="宋体" w:eastAsia="宋体" w:cs="宋体"/>
          <w:sz w:val="25"/>
          <w:szCs w:val="25"/>
        </w:rPr>
      </w:pPr>
      <w:r>
        <w:rPr>
          <w:rFonts w:ascii="宋体" w:hAnsi="宋体" w:eastAsia="宋体" w:cs="宋体"/>
          <w:b/>
          <w:bCs/>
          <w:spacing w:val="-3"/>
          <w:sz w:val="25"/>
          <w:szCs w:val="25"/>
        </w:rPr>
        <w:t>表4-2包头市石拐区水源地突发环境事件应急物资储备情况</w:t>
      </w:r>
    </w:p>
    <w:p w14:paraId="5B945408">
      <w:pPr>
        <w:spacing w:line="61" w:lineRule="exact"/>
      </w:pPr>
    </w:p>
    <w:tbl>
      <w:tblPr>
        <w:tblStyle w:val="5"/>
        <w:tblW w:w="85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3"/>
        <w:gridCol w:w="1258"/>
        <w:gridCol w:w="2387"/>
        <w:gridCol w:w="939"/>
        <w:gridCol w:w="1858"/>
        <w:gridCol w:w="1064"/>
      </w:tblGrid>
      <w:tr w14:paraId="799DC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083" w:type="dxa"/>
            <w:vAlign w:val="top"/>
          </w:tcPr>
          <w:p w14:paraId="62959231">
            <w:pPr>
              <w:pStyle w:val="6"/>
              <w:spacing w:before="72" w:line="221" w:lineRule="auto"/>
              <w:ind w:left="178"/>
              <w:rPr>
                <w:sz w:val="24"/>
                <w:szCs w:val="24"/>
              </w:rPr>
            </w:pPr>
            <w:r>
              <w:rPr>
                <w:b/>
                <w:bCs/>
                <w:color w:val="404040"/>
                <w:spacing w:val="-6"/>
                <w:sz w:val="24"/>
                <w:szCs w:val="24"/>
              </w:rPr>
              <w:t>应急</w:t>
            </w:r>
            <w:r>
              <w:rPr>
                <w:b/>
                <w:bCs/>
                <w:color w:val="504050"/>
                <w:spacing w:val="-6"/>
                <w:sz w:val="24"/>
                <w:szCs w:val="24"/>
              </w:rPr>
              <w:t>物</w:t>
            </w:r>
          </w:p>
          <w:p w14:paraId="381A8AFD">
            <w:pPr>
              <w:pStyle w:val="6"/>
              <w:spacing w:before="73" w:line="208" w:lineRule="auto"/>
              <w:ind w:left="418"/>
              <w:rPr>
                <w:sz w:val="24"/>
                <w:szCs w:val="24"/>
              </w:rPr>
            </w:pPr>
            <w:r>
              <w:rPr>
                <w:b/>
                <w:bCs/>
                <w:spacing w:val="-3"/>
                <w:sz w:val="24"/>
                <w:szCs w:val="24"/>
              </w:rPr>
              <w:t>资</w:t>
            </w:r>
          </w:p>
        </w:tc>
        <w:tc>
          <w:tcPr>
            <w:tcW w:w="1258" w:type="dxa"/>
            <w:vAlign w:val="top"/>
          </w:tcPr>
          <w:p w14:paraId="7C08EB92">
            <w:pPr>
              <w:pStyle w:val="6"/>
              <w:spacing w:before="241" w:line="219" w:lineRule="auto"/>
              <w:ind w:left="385"/>
              <w:rPr>
                <w:sz w:val="24"/>
                <w:szCs w:val="24"/>
              </w:rPr>
            </w:pPr>
            <w:r>
              <w:rPr>
                <w:b/>
                <w:bCs/>
                <w:color w:val="404050"/>
                <w:spacing w:val="-8"/>
                <w:sz w:val="24"/>
                <w:szCs w:val="24"/>
              </w:rPr>
              <w:t>种</w:t>
            </w:r>
            <w:r>
              <w:rPr>
                <w:b/>
                <w:bCs/>
                <w:color w:val="505050"/>
                <w:spacing w:val="-8"/>
                <w:sz w:val="24"/>
                <w:szCs w:val="24"/>
              </w:rPr>
              <w:t>类</w:t>
            </w:r>
          </w:p>
        </w:tc>
        <w:tc>
          <w:tcPr>
            <w:tcW w:w="2387" w:type="dxa"/>
            <w:vAlign w:val="top"/>
          </w:tcPr>
          <w:p w14:paraId="5C49BB4E">
            <w:pPr>
              <w:pStyle w:val="6"/>
              <w:spacing w:before="244" w:line="221" w:lineRule="auto"/>
              <w:ind w:left="947"/>
              <w:rPr>
                <w:sz w:val="24"/>
                <w:szCs w:val="24"/>
              </w:rPr>
            </w:pPr>
            <w:r>
              <w:rPr>
                <w:b/>
                <w:bCs/>
                <w:spacing w:val="-7"/>
                <w:sz w:val="24"/>
                <w:szCs w:val="24"/>
              </w:rPr>
              <w:t>名</w:t>
            </w:r>
            <w:r>
              <w:rPr>
                <w:b/>
                <w:bCs/>
                <w:color w:val="506060"/>
                <w:spacing w:val="-7"/>
                <w:sz w:val="24"/>
                <w:szCs w:val="24"/>
              </w:rPr>
              <w:t>称</w:t>
            </w:r>
          </w:p>
        </w:tc>
        <w:tc>
          <w:tcPr>
            <w:tcW w:w="939" w:type="dxa"/>
            <w:vAlign w:val="top"/>
          </w:tcPr>
          <w:p w14:paraId="72713FA5">
            <w:pPr>
              <w:pStyle w:val="6"/>
              <w:spacing w:before="72" w:line="243" w:lineRule="auto"/>
              <w:ind w:left="349" w:right="226" w:hanging="119"/>
              <w:rPr>
                <w:sz w:val="24"/>
                <w:szCs w:val="24"/>
              </w:rPr>
            </w:pPr>
            <w:r>
              <w:rPr>
                <w:b/>
                <w:bCs/>
                <w:spacing w:val="-7"/>
                <w:sz w:val="24"/>
                <w:szCs w:val="24"/>
              </w:rPr>
              <w:t>储备</w:t>
            </w:r>
            <w:r>
              <w:rPr>
                <w:sz w:val="24"/>
                <w:szCs w:val="24"/>
              </w:rPr>
              <w:t xml:space="preserve"> </w:t>
            </w:r>
            <w:r>
              <w:rPr>
                <w:b/>
                <w:bCs/>
                <w:spacing w:val="-3"/>
                <w:sz w:val="24"/>
                <w:szCs w:val="24"/>
              </w:rPr>
              <w:t>量</w:t>
            </w:r>
          </w:p>
        </w:tc>
        <w:tc>
          <w:tcPr>
            <w:tcW w:w="1858" w:type="dxa"/>
            <w:vAlign w:val="top"/>
          </w:tcPr>
          <w:p w14:paraId="1CCB3D43">
            <w:pPr>
              <w:pStyle w:val="6"/>
              <w:spacing w:before="241" w:line="219" w:lineRule="auto"/>
              <w:ind w:left="451"/>
              <w:rPr>
                <w:sz w:val="24"/>
                <w:szCs w:val="24"/>
              </w:rPr>
            </w:pPr>
            <w:r>
              <w:rPr>
                <w:b/>
                <w:bCs/>
                <w:color w:val="606060"/>
                <w:spacing w:val="-5"/>
                <w:sz w:val="24"/>
                <w:szCs w:val="24"/>
              </w:rPr>
              <w:t>储存位置</w:t>
            </w:r>
          </w:p>
        </w:tc>
        <w:tc>
          <w:tcPr>
            <w:tcW w:w="1064" w:type="dxa"/>
            <w:vAlign w:val="top"/>
          </w:tcPr>
          <w:p w14:paraId="1C95A39B">
            <w:pPr>
              <w:pStyle w:val="6"/>
              <w:spacing w:before="242" w:line="221" w:lineRule="auto"/>
              <w:ind w:left="293"/>
              <w:rPr>
                <w:sz w:val="24"/>
                <w:szCs w:val="24"/>
              </w:rPr>
            </w:pPr>
            <w:r>
              <w:rPr>
                <w:b/>
                <w:bCs/>
                <w:color w:val="405050"/>
                <w:spacing w:val="-8"/>
                <w:sz w:val="24"/>
                <w:szCs w:val="24"/>
              </w:rPr>
              <w:t>备</w:t>
            </w:r>
            <w:r>
              <w:rPr>
                <w:b/>
                <w:bCs/>
                <w:color w:val="606060"/>
                <w:spacing w:val="-8"/>
                <w:sz w:val="24"/>
                <w:szCs w:val="24"/>
              </w:rPr>
              <w:t>注</w:t>
            </w:r>
          </w:p>
        </w:tc>
      </w:tr>
      <w:tr w14:paraId="555E3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83" w:type="dxa"/>
            <w:vMerge w:val="restart"/>
            <w:tcBorders>
              <w:bottom w:val="nil"/>
            </w:tcBorders>
            <w:vAlign w:val="top"/>
          </w:tcPr>
          <w:p w14:paraId="27A5F5EE">
            <w:pPr>
              <w:spacing w:line="321" w:lineRule="auto"/>
              <w:rPr>
                <w:rFonts w:ascii="Arial"/>
                <w:sz w:val="21"/>
              </w:rPr>
            </w:pPr>
          </w:p>
          <w:p w14:paraId="2C3DFDFB">
            <w:pPr>
              <w:spacing w:line="321" w:lineRule="auto"/>
              <w:rPr>
                <w:rFonts w:ascii="Arial"/>
                <w:sz w:val="21"/>
              </w:rPr>
            </w:pPr>
          </w:p>
          <w:p w14:paraId="435C571F">
            <w:pPr>
              <w:pStyle w:val="6"/>
              <w:spacing w:before="78" w:line="221" w:lineRule="auto"/>
              <w:ind w:left="174"/>
              <w:rPr>
                <w:sz w:val="24"/>
                <w:szCs w:val="24"/>
              </w:rPr>
            </w:pPr>
            <w:r>
              <w:rPr>
                <w:spacing w:val="-3"/>
                <w:sz w:val="24"/>
                <w:szCs w:val="24"/>
              </w:rPr>
              <w:t>应急监</w:t>
            </w:r>
          </w:p>
          <w:p w14:paraId="658A7ADE">
            <w:pPr>
              <w:pStyle w:val="6"/>
              <w:spacing w:before="70" w:line="280" w:lineRule="auto"/>
              <w:ind w:left="295" w:right="280" w:firstLine="119"/>
              <w:rPr>
                <w:sz w:val="24"/>
                <w:szCs w:val="24"/>
              </w:rPr>
            </w:pPr>
            <w:r>
              <w:rPr>
                <w:spacing w:val="-11"/>
                <w:sz w:val="24"/>
                <w:szCs w:val="24"/>
              </w:rPr>
              <w:t>测</w:t>
            </w:r>
            <w:r>
              <w:rPr>
                <w:sz w:val="24"/>
                <w:szCs w:val="24"/>
              </w:rPr>
              <w:t xml:space="preserve">  </w:t>
            </w:r>
            <w:r>
              <w:rPr>
                <w:spacing w:val="8"/>
                <w:sz w:val="24"/>
                <w:szCs w:val="24"/>
              </w:rPr>
              <w:t>物资</w:t>
            </w:r>
          </w:p>
        </w:tc>
        <w:tc>
          <w:tcPr>
            <w:tcW w:w="1258" w:type="dxa"/>
            <w:vMerge w:val="restart"/>
            <w:tcBorders>
              <w:bottom w:val="nil"/>
            </w:tcBorders>
            <w:vAlign w:val="top"/>
          </w:tcPr>
          <w:p w14:paraId="396B46E1">
            <w:pPr>
              <w:spacing w:line="319" w:lineRule="auto"/>
              <w:rPr>
                <w:rFonts w:ascii="Arial"/>
                <w:sz w:val="21"/>
              </w:rPr>
            </w:pPr>
          </w:p>
          <w:p w14:paraId="56C0D112">
            <w:pPr>
              <w:spacing w:line="320" w:lineRule="auto"/>
              <w:rPr>
                <w:rFonts w:ascii="Arial"/>
                <w:sz w:val="21"/>
              </w:rPr>
            </w:pPr>
          </w:p>
          <w:p w14:paraId="6CBCE7EA">
            <w:pPr>
              <w:pStyle w:val="6"/>
              <w:spacing w:before="78" w:line="219" w:lineRule="auto"/>
              <w:ind w:left="141"/>
              <w:rPr>
                <w:sz w:val="24"/>
                <w:szCs w:val="24"/>
              </w:rPr>
            </w:pPr>
            <w:r>
              <w:rPr>
                <w:spacing w:val="2"/>
                <w:sz w:val="24"/>
                <w:szCs w:val="24"/>
              </w:rPr>
              <w:t>便携式监</w:t>
            </w:r>
          </w:p>
          <w:p w14:paraId="703AF22C">
            <w:pPr>
              <w:pStyle w:val="6"/>
              <w:spacing w:before="76" w:line="221" w:lineRule="auto"/>
              <w:ind w:left="501"/>
              <w:rPr>
                <w:sz w:val="24"/>
                <w:szCs w:val="24"/>
              </w:rPr>
            </w:pPr>
            <w:r>
              <w:rPr>
                <w:sz w:val="24"/>
                <w:szCs w:val="24"/>
              </w:rPr>
              <w:t>测</w:t>
            </w:r>
          </w:p>
          <w:p w14:paraId="7BE8D89C">
            <w:pPr>
              <w:pStyle w:val="6"/>
              <w:spacing w:before="71" w:line="219" w:lineRule="auto"/>
              <w:ind w:left="382"/>
              <w:rPr>
                <w:sz w:val="24"/>
                <w:szCs w:val="24"/>
              </w:rPr>
            </w:pPr>
            <w:r>
              <w:rPr>
                <w:spacing w:val="5"/>
                <w:sz w:val="24"/>
                <w:szCs w:val="24"/>
              </w:rPr>
              <w:t>仪器</w:t>
            </w:r>
          </w:p>
        </w:tc>
        <w:tc>
          <w:tcPr>
            <w:tcW w:w="2387" w:type="dxa"/>
            <w:vAlign w:val="top"/>
          </w:tcPr>
          <w:p w14:paraId="14F3303A">
            <w:pPr>
              <w:pStyle w:val="6"/>
              <w:spacing w:before="60" w:line="219" w:lineRule="auto"/>
              <w:ind w:left="224"/>
              <w:rPr>
                <w:sz w:val="24"/>
                <w:szCs w:val="24"/>
              </w:rPr>
            </w:pPr>
            <w:r>
              <w:rPr>
                <w:spacing w:val="1"/>
                <w:sz w:val="24"/>
                <w:szCs w:val="24"/>
              </w:rPr>
              <w:t>便携式分光光度计</w:t>
            </w:r>
          </w:p>
        </w:tc>
        <w:tc>
          <w:tcPr>
            <w:tcW w:w="939" w:type="dxa"/>
            <w:vAlign w:val="top"/>
          </w:tcPr>
          <w:p w14:paraId="43DA25C4">
            <w:pPr>
              <w:pStyle w:val="6"/>
              <w:spacing w:before="63" w:line="220" w:lineRule="auto"/>
              <w:ind w:left="286"/>
              <w:rPr>
                <w:sz w:val="24"/>
                <w:szCs w:val="24"/>
              </w:rPr>
            </w:pPr>
            <w:r>
              <w:rPr>
                <w:spacing w:val="13"/>
                <w:sz w:val="24"/>
                <w:szCs w:val="24"/>
              </w:rPr>
              <w:t>1台</w:t>
            </w:r>
          </w:p>
        </w:tc>
        <w:tc>
          <w:tcPr>
            <w:tcW w:w="1858" w:type="dxa"/>
            <w:vMerge w:val="restart"/>
            <w:tcBorders>
              <w:bottom w:val="nil"/>
            </w:tcBorders>
            <w:vAlign w:val="top"/>
          </w:tcPr>
          <w:p w14:paraId="2E25F6ED">
            <w:pPr>
              <w:spacing w:line="329" w:lineRule="auto"/>
              <w:rPr>
                <w:rFonts w:ascii="Arial"/>
                <w:sz w:val="21"/>
              </w:rPr>
            </w:pPr>
          </w:p>
          <w:p w14:paraId="2AB9791F">
            <w:pPr>
              <w:spacing w:line="329" w:lineRule="auto"/>
              <w:rPr>
                <w:rFonts w:ascii="Arial"/>
                <w:sz w:val="21"/>
              </w:rPr>
            </w:pPr>
          </w:p>
          <w:p w14:paraId="3560E212">
            <w:pPr>
              <w:pStyle w:val="6"/>
              <w:spacing w:before="78" w:line="219" w:lineRule="auto"/>
              <w:ind w:left="207"/>
              <w:rPr>
                <w:sz w:val="24"/>
                <w:szCs w:val="24"/>
              </w:rPr>
            </w:pPr>
            <w:r>
              <w:rPr>
                <w:spacing w:val="2"/>
                <w:sz w:val="24"/>
                <w:szCs w:val="24"/>
              </w:rPr>
              <w:t>包头市生态环</w:t>
            </w:r>
          </w:p>
          <w:p w14:paraId="5BDE44DC">
            <w:pPr>
              <w:pStyle w:val="6"/>
              <w:spacing w:before="55" w:line="220" w:lineRule="auto"/>
              <w:ind w:left="207"/>
              <w:rPr>
                <w:sz w:val="24"/>
                <w:szCs w:val="24"/>
              </w:rPr>
            </w:pPr>
            <w:r>
              <w:rPr>
                <w:spacing w:val="1"/>
                <w:sz w:val="24"/>
                <w:szCs w:val="24"/>
              </w:rPr>
              <w:t>境局石拐区分</w:t>
            </w:r>
          </w:p>
          <w:p w14:paraId="6ACD9B7B">
            <w:pPr>
              <w:pStyle w:val="6"/>
              <w:spacing w:before="74" w:line="221" w:lineRule="auto"/>
              <w:ind w:left="807"/>
              <w:rPr>
                <w:sz w:val="24"/>
                <w:szCs w:val="24"/>
              </w:rPr>
            </w:pPr>
            <w:r>
              <w:rPr>
                <w:sz w:val="24"/>
                <w:szCs w:val="24"/>
              </w:rPr>
              <w:t>局</w:t>
            </w:r>
          </w:p>
        </w:tc>
        <w:tc>
          <w:tcPr>
            <w:tcW w:w="1064" w:type="dxa"/>
            <w:vMerge w:val="restart"/>
            <w:tcBorders>
              <w:bottom w:val="nil"/>
            </w:tcBorders>
            <w:vAlign w:val="top"/>
          </w:tcPr>
          <w:p w14:paraId="45E0D080">
            <w:pPr>
              <w:spacing w:line="276" w:lineRule="auto"/>
              <w:rPr>
                <w:rFonts w:ascii="Arial"/>
                <w:sz w:val="21"/>
              </w:rPr>
            </w:pPr>
          </w:p>
          <w:p w14:paraId="09BB2F9C">
            <w:pPr>
              <w:spacing w:line="276" w:lineRule="auto"/>
              <w:rPr>
                <w:rFonts w:ascii="Arial"/>
                <w:sz w:val="21"/>
              </w:rPr>
            </w:pPr>
          </w:p>
          <w:p w14:paraId="3D3A35B5">
            <w:pPr>
              <w:spacing w:line="277" w:lineRule="auto"/>
              <w:rPr>
                <w:rFonts w:ascii="Arial"/>
                <w:sz w:val="21"/>
              </w:rPr>
            </w:pPr>
          </w:p>
          <w:p w14:paraId="53205D70">
            <w:pPr>
              <w:pStyle w:val="6"/>
              <w:spacing w:before="78" w:line="279" w:lineRule="auto"/>
              <w:ind w:left="409" w:right="153" w:hanging="239"/>
              <w:rPr>
                <w:sz w:val="24"/>
                <w:szCs w:val="24"/>
              </w:rPr>
            </w:pPr>
            <w:r>
              <w:rPr>
                <w:spacing w:val="3"/>
                <w:sz w:val="24"/>
                <w:szCs w:val="24"/>
              </w:rPr>
              <w:t>定期维</w:t>
            </w:r>
            <w:r>
              <w:rPr>
                <w:sz w:val="24"/>
                <w:szCs w:val="24"/>
              </w:rPr>
              <w:t xml:space="preserve"> 护</w:t>
            </w:r>
          </w:p>
        </w:tc>
      </w:tr>
      <w:tr w14:paraId="57E75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083" w:type="dxa"/>
            <w:vMerge w:val="continue"/>
            <w:tcBorders>
              <w:top w:val="nil"/>
              <w:bottom w:val="nil"/>
            </w:tcBorders>
            <w:vAlign w:val="top"/>
          </w:tcPr>
          <w:p w14:paraId="62396BA8">
            <w:pPr>
              <w:rPr>
                <w:rFonts w:ascii="Arial"/>
                <w:sz w:val="21"/>
              </w:rPr>
            </w:pPr>
          </w:p>
        </w:tc>
        <w:tc>
          <w:tcPr>
            <w:tcW w:w="1258" w:type="dxa"/>
            <w:vMerge w:val="continue"/>
            <w:tcBorders>
              <w:top w:val="nil"/>
              <w:bottom w:val="nil"/>
            </w:tcBorders>
            <w:vAlign w:val="top"/>
          </w:tcPr>
          <w:p w14:paraId="100C11F9">
            <w:pPr>
              <w:rPr>
                <w:rFonts w:ascii="Arial"/>
                <w:sz w:val="21"/>
              </w:rPr>
            </w:pPr>
          </w:p>
        </w:tc>
        <w:tc>
          <w:tcPr>
            <w:tcW w:w="2387" w:type="dxa"/>
            <w:vAlign w:val="top"/>
          </w:tcPr>
          <w:p w14:paraId="6CBA587B">
            <w:pPr>
              <w:pStyle w:val="6"/>
              <w:spacing w:before="91" w:line="219" w:lineRule="auto"/>
              <w:ind w:left="104"/>
              <w:rPr>
                <w:sz w:val="24"/>
                <w:szCs w:val="24"/>
              </w:rPr>
            </w:pPr>
            <w:r>
              <w:rPr>
                <w:spacing w:val="1"/>
                <w:sz w:val="24"/>
                <w:szCs w:val="24"/>
              </w:rPr>
              <w:t>便携式重金属分析仪</w:t>
            </w:r>
          </w:p>
        </w:tc>
        <w:tc>
          <w:tcPr>
            <w:tcW w:w="939" w:type="dxa"/>
            <w:vAlign w:val="top"/>
          </w:tcPr>
          <w:p w14:paraId="7DB6039E">
            <w:pPr>
              <w:pStyle w:val="6"/>
              <w:spacing w:before="95" w:line="221" w:lineRule="auto"/>
              <w:ind w:left="286"/>
              <w:rPr>
                <w:sz w:val="24"/>
                <w:szCs w:val="24"/>
              </w:rPr>
            </w:pPr>
            <w:r>
              <w:rPr>
                <w:spacing w:val="13"/>
                <w:sz w:val="24"/>
                <w:szCs w:val="24"/>
              </w:rPr>
              <w:t>1台</w:t>
            </w:r>
          </w:p>
        </w:tc>
        <w:tc>
          <w:tcPr>
            <w:tcW w:w="1858" w:type="dxa"/>
            <w:vMerge w:val="continue"/>
            <w:tcBorders>
              <w:top w:val="nil"/>
              <w:bottom w:val="nil"/>
            </w:tcBorders>
            <w:vAlign w:val="top"/>
          </w:tcPr>
          <w:p w14:paraId="0523555B">
            <w:pPr>
              <w:rPr>
                <w:rFonts w:ascii="Arial"/>
                <w:sz w:val="21"/>
              </w:rPr>
            </w:pPr>
          </w:p>
        </w:tc>
        <w:tc>
          <w:tcPr>
            <w:tcW w:w="1064" w:type="dxa"/>
            <w:vMerge w:val="continue"/>
            <w:tcBorders>
              <w:top w:val="nil"/>
              <w:bottom w:val="nil"/>
            </w:tcBorders>
            <w:vAlign w:val="top"/>
          </w:tcPr>
          <w:p w14:paraId="4C048028">
            <w:pPr>
              <w:rPr>
                <w:rFonts w:ascii="Arial"/>
                <w:sz w:val="21"/>
              </w:rPr>
            </w:pPr>
          </w:p>
        </w:tc>
      </w:tr>
      <w:tr w14:paraId="48CAD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083" w:type="dxa"/>
            <w:vMerge w:val="continue"/>
            <w:tcBorders>
              <w:top w:val="nil"/>
              <w:bottom w:val="nil"/>
            </w:tcBorders>
            <w:vAlign w:val="top"/>
          </w:tcPr>
          <w:p w14:paraId="7F36BEBD">
            <w:pPr>
              <w:rPr>
                <w:rFonts w:ascii="Arial"/>
                <w:sz w:val="21"/>
              </w:rPr>
            </w:pPr>
          </w:p>
        </w:tc>
        <w:tc>
          <w:tcPr>
            <w:tcW w:w="1258" w:type="dxa"/>
            <w:vMerge w:val="continue"/>
            <w:tcBorders>
              <w:top w:val="nil"/>
              <w:bottom w:val="nil"/>
            </w:tcBorders>
            <w:vAlign w:val="top"/>
          </w:tcPr>
          <w:p w14:paraId="2CFD6DA4">
            <w:pPr>
              <w:rPr>
                <w:rFonts w:ascii="Arial"/>
                <w:sz w:val="21"/>
              </w:rPr>
            </w:pPr>
          </w:p>
        </w:tc>
        <w:tc>
          <w:tcPr>
            <w:tcW w:w="2387" w:type="dxa"/>
            <w:vAlign w:val="top"/>
          </w:tcPr>
          <w:p w14:paraId="59EC2D3D">
            <w:pPr>
              <w:pStyle w:val="6"/>
              <w:spacing w:before="102" w:line="237" w:lineRule="auto"/>
              <w:ind w:left="1063" w:right="102" w:hanging="959"/>
              <w:rPr>
                <w:sz w:val="24"/>
                <w:szCs w:val="24"/>
              </w:rPr>
            </w:pPr>
            <w:r>
              <w:rPr>
                <w:spacing w:val="1"/>
                <w:sz w:val="24"/>
                <w:szCs w:val="24"/>
              </w:rPr>
              <w:t>便携式生物毒性分析</w:t>
            </w:r>
            <w:r>
              <w:rPr>
                <w:sz w:val="24"/>
                <w:szCs w:val="24"/>
              </w:rPr>
              <w:t xml:space="preserve"> 仪</w:t>
            </w:r>
          </w:p>
        </w:tc>
        <w:tc>
          <w:tcPr>
            <w:tcW w:w="939" w:type="dxa"/>
            <w:vAlign w:val="top"/>
          </w:tcPr>
          <w:p w14:paraId="04DF7C71">
            <w:pPr>
              <w:pStyle w:val="6"/>
              <w:spacing w:before="255" w:line="221" w:lineRule="auto"/>
              <w:ind w:left="286"/>
              <w:rPr>
                <w:sz w:val="24"/>
                <w:szCs w:val="24"/>
              </w:rPr>
            </w:pPr>
            <w:r>
              <w:rPr>
                <w:spacing w:val="13"/>
                <w:sz w:val="24"/>
                <w:szCs w:val="24"/>
              </w:rPr>
              <w:t>1台</w:t>
            </w:r>
          </w:p>
        </w:tc>
        <w:tc>
          <w:tcPr>
            <w:tcW w:w="1858" w:type="dxa"/>
            <w:vMerge w:val="continue"/>
            <w:tcBorders>
              <w:top w:val="nil"/>
              <w:bottom w:val="nil"/>
            </w:tcBorders>
            <w:vAlign w:val="top"/>
          </w:tcPr>
          <w:p w14:paraId="6B5B15F6">
            <w:pPr>
              <w:rPr>
                <w:rFonts w:ascii="Arial"/>
                <w:sz w:val="21"/>
              </w:rPr>
            </w:pPr>
          </w:p>
        </w:tc>
        <w:tc>
          <w:tcPr>
            <w:tcW w:w="1064" w:type="dxa"/>
            <w:vMerge w:val="continue"/>
            <w:tcBorders>
              <w:top w:val="nil"/>
              <w:bottom w:val="nil"/>
            </w:tcBorders>
            <w:vAlign w:val="top"/>
          </w:tcPr>
          <w:p w14:paraId="44F6719E">
            <w:pPr>
              <w:rPr>
                <w:rFonts w:ascii="Arial"/>
                <w:sz w:val="21"/>
              </w:rPr>
            </w:pPr>
          </w:p>
        </w:tc>
      </w:tr>
      <w:tr w14:paraId="08340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83" w:type="dxa"/>
            <w:vMerge w:val="continue"/>
            <w:tcBorders>
              <w:top w:val="nil"/>
              <w:bottom w:val="nil"/>
            </w:tcBorders>
            <w:vAlign w:val="top"/>
          </w:tcPr>
          <w:p w14:paraId="2E28302B">
            <w:pPr>
              <w:rPr>
                <w:rFonts w:ascii="Arial"/>
                <w:sz w:val="21"/>
              </w:rPr>
            </w:pPr>
          </w:p>
        </w:tc>
        <w:tc>
          <w:tcPr>
            <w:tcW w:w="1258" w:type="dxa"/>
            <w:vMerge w:val="continue"/>
            <w:tcBorders>
              <w:top w:val="nil"/>
              <w:bottom w:val="nil"/>
            </w:tcBorders>
            <w:vAlign w:val="top"/>
          </w:tcPr>
          <w:p w14:paraId="23027C75">
            <w:pPr>
              <w:rPr>
                <w:rFonts w:ascii="Arial"/>
                <w:sz w:val="21"/>
              </w:rPr>
            </w:pPr>
          </w:p>
        </w:tc>
        <w:tc>
          <w:tcPr>
            <w:tcW w:w="2387" w:type="dxa"/>
            <w:vAlign w:val="top"/>
          </w:tcPr>
          <w:p w14:paraId="13FA8F66">
            <w:pPr>
              <w:pStyle w:val="6"/>
              <w:spacing w:before="92" w:line="219" w:lineRule="auto"/>
              <w:ind w:left="464"/>
              <w:rPr>
                <w:sz w:val="24"/>
                <w:szCs w:val="24"/>
              </w:rPr>
            </w:pPr>
            <w:r>
              <w:rPr>
                <w:spacing w:val="1"/>
                <w:sz w:val="24"/>
                <w:szCs w:val="24"/>
              </w:rPr>
              <w:t>便携式流量计</w:t>
            </w:r>
          </w:p>
        </w:tc>
        <w:tc>
          <w:tcPr>
            <w:tcW w:w="939" w:type="dxa"/>
            <w:vAlign w:val="top"/>
          </w:tcPr>
          <w:p w14:paraId="1531484C">
            <w:pPr>
              <w:pStyle w:val="6"/>
              <w:spacing w:before="96" w:line="221" w:lineRule="auto"/>
              <w:ind w:left="286"/>
              <w:rPr>
                <w:sz w:val="24"/>
                <w:szCs w:val="24"/>
              </w:rPr>
            </w:pPr>
            <w:r>
              <w:rPr>
                <w:spacing w:val="13"/>
                <w:sz w:val="24"/>
                <w:szCs w:val="24"/>
              </w:rPr>
              <w:t>1台</w:t>
            </w:r>
          </w:p>
        </w:tc>
        <w:tc>
          <w:tcPr>
            <w:tcW w:w="1858" w:type="dxa"/>
            <w:vMerge w:val="continue"/>
            <w:tcBorders>
              <w:top w:val="nil"/>
              <w:bottom w:val="nil"/>
            </w:tcBorders>
            <w:vAlign w:val="top"/>
          </w:tcPr>
          <w:p w14:paraId="2D964163">
            <w:pPr>
              <w:rPr>
                <w:rFonts w:ascii="Arial"/>
                <w:sz w:val="21"/>
              </w:rPr>
            </w:pPr>
          </w:p>
        </w:tc>
        <w:tc>
          <w:tcPr>
            <w:tcW w:w="1064" w:type="dxa"/>
            <w:vMerge w:val="continue"/>
            <w:tcBorders>
              <w:top w:val="nil"/>
              <w:bottom w:val="nil"/>
            </w:tcBorders>
            <w:vAlign w:val="top"/>
          </w:tcPr>
          <w:p w14:paraId="6DCEAD17">
            <w:pPr>
              <w:rPr>
                <w:rFonts w:ascii="Arial"/>
                <w:sz w:val="21"/>
              </w:rPr>
            </w:pPr>
          </w:p>
        </w:tc>
      </w:tr>
      <w:tr w14:paraId="52ADA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83" w:type="dxa"/>
            <w:vMerge w:val="continue"/>
            <w:tcBorders>
              <w:top w:val="nil"/>
            </w:tcBorders>
            <w:vAlign w:val="top"/>
          </w:tcPr>
          <w:p w14:paraId="08636C4B">
            <w:pPr>
              <w:rPr>
                <w:rFonts w:ascii="Arial"/>
                <w:sz w:val="21"/>
              </w:rPr>
            </w:pPr>
          </w:p>
        </w:tc>
        <w:tc>
          <w:tcPr>
            <w:tcW w:w="1258" w:type="dxa"/>
            <w:vMerge w:val="continue"/>
            <w:tcBorders>
              <w:top w:val="nil"/>
            </w:tcBorders>
            <w:vAlign w:val="top"/>
          </w:tcPr>
          <w:p w14:paraId="1289F4C6">
            <w:pPr>
              <w:rPr>
                <w:rFonts w:ascii="Arial"/>
                <w:sz w:val="21"/>
              </w:rPr>
            </w:pPr>
          </w:p>
        </w:tc>
        <w:tc>
          <w:tcPr>
            <w:tcW w:w="2387" w:type="dxa"/>
            <w:vAlign w:val="top"/>
          </w:tcPr>
          <w:p w14:paraId="0916B6FA">
            <w:pPr>
              <w:pStyle w:val="6"/>
              <w:spacing w:before="94" w:line="219" w:lineRule="auto"/>
              <w:ind w:left="404"/>
              <w:rPr>
                <w:sz w:val="24"/>
                <w:szCs w:val="24"/>
              </w:rPr>
            </w:pPr>
            <w:r>
              <w:rPr>
                <w:spacing w:val="-1"/>
                <w:sz w:val="24"/>
                <w:szCs w:val="24"/>
              </w:rPr>
              <w:t>COD快速检测仪</w:t>
            </w:r>
          </w:p>
        </w:tc>
        <w:tc>
          <w:tcPr>
            <w:tcW w:w="939" w:type="dxa"/>
            <w:vAlign w:val="top"/>
          </w:tcPr>
          <w:p w14:paraId="1DBA432F">
            <w:pPr>
              <w:pStyle w:val="6"/>
              <w:spacing w:before="97" w:line="221" w:lineRule="auto"/>
              <w:ind w:left="286"/>
              <w:rPr>
                <w:sz w:val="24"/>
                <w:szCs w:val="24"/>
              </w:rPr>
            </w:pPr>
            <w:r>
              <w:rPr>
                <w:spacing w:val="13"/>
                <w:sz w:val="24"/>
                <w:szCs w:val="24"/>
              </w:rPr>
              <w:t>1台</w:t>
            </w:r>
          </w:p>
        </w:tc>
        <w:tc>
          <w:tcPr>
            <w:tcW w:w="1858" w:type="dxa"/>
            <w:vMerge w:val="continue"/>
            <w:tcBorders>
              <w:top w:val="nil"/>
            </w:tcBorders>
            <w:vAlign w:val="top"/>
          </w:tcPr>
          <w:p w14:paraId="0CCA3533">
            <w:pPr>
              <w:rPr>
                <w:rFonts w:ascii="Arial"/>
                <w:sz w:val="21"/>
              </w:rPr>
            </w:pPr>
          </w:p>
        </w:tc>
        <w:tc>
          <w:tcPr>
            <w:tcW w:w="1064" w:type="dxa"/>
            <w:vMerge w:val="continue"/>
            <w:tcBorders>
              <w:top w:val="nil"/>
            </w:tcBorders>
            <w:vAlign w:val="top"/>
          </w:tcPr>
          <w:p w14:paraId="55FFCDD4">
            <w:pPr>
              <w:rPr>
                <w:rFonts w:ascii="Arial"/>
                <w:sz w:val="21"/>
              </w:rPr>
            </w:pPr>
          </w:p>
        </w:tc>
      </w:tr>
      <w:tr w14:paraId="5AF44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83" w:type="dxa"/>
            <w:vMerge w:val="restart"/>
            <w:tcBorders>
              <w:bottom w:val="nil"/>
            </w:tcBorders>
            <w:vAlign w:val="top"/>
          </w:tcPr>
          <w:p w14:paraId="61353355">
            <w:pPr>
              <w:spacing w:line="253" w:lineRule="auto"/>
              <w:rPr>
                <w:rFonts w:ascii="Arial"/>
                <w:sz w:val="21"/>
              </w:rPr>
            </w:pPr>
          </w:p>
          <w:p w14:paraId="72E924C6">
            <w:pPr>
              <w:spacing w:line="254" w:lineRule="auto"/>
              <w:rPr>
                <w:rFonts w:ascii="Arial"/>
                <w:sz w:val="21"/>
              </w:rPr>
            </w:pPr>
          </w:p>
          <w:p w14:paraId="472B8E1C">
            <w:pPr>
              <w:spacing w:line="254" w:lineRule="auto"/>
              <w:rPr>
                <w:rFonts w:ascii="Arial"/>
                <w:sz w:val="21"/>
              </w:rPr>
            </w:pPr>
          </w:p>
          <w:p w14:paraId="2D66D8C5">
            <w:pPr>
              <w:pStyle w:val="6"/>
              <w:spacing w:before="78" w:line="219" w:lineRule="auto"/>
              <w:ind w:left="174"/>
              <w:rPr>
                <w:sz w:val="24"/>
                <w:szCs w:val="24"/>
              </w:rPr>
            </w:pPr>
            <w:r>
              <w:rPr>
                <w:spacing w:val="4"/>
                <w:sz w:val="24"/>
                <w:szCs w:val="24"/>
              </w:rPr>
              <w:t>个人防</w:t>
            </w:r>
          </w:p>
          <w:p w14:paraId="5F16571E">
            <w:pPr>
              <w:pStyle w:val="6"/>
              <w:spacing w:before="85" w:line="281" w:lineRule="auto"/>
              <w:ind w:left="413" w:right="165" w:hanging="239"/>
              <w:rPr>
                <w:sz w:val="24"/>
                <w:szCs w:val="24"/>
              </w:rPr>
            </w:pPr>
            <w:r>
              <w:rPr>
                <w:spacing w:val="4"/>
                <w:sz w:val="24"/>
                <w:szCs w:val="24"/>
              </w:rPr>
              <w:t>护类物</w:t>
            </w:r>
            <w:r>
              <w:rPr>
                <w:sz w:val="24"/>
                <w:szCs w:val="24"/>
              </w:rPr>
              <w:t xml:space="preserve"> 资</w:t>
            </w:r>
          </w:p>
        </w:tc>
        <w:tc>
          <w:tcPr>
            <w:tcW w:w="1258" w:type="dxa"/>
            <w:vAlign w:val="top"/>
          </w:tcPr>
          <w:p w14:paraId="1EE0FC82">
            <w:pPr>
              <w:rPr>
                <w:rFonts w:ascii="Arial"/>
                <w:sz w:val="21"/>
              </w:rPr>
            </w:pPr>
          </w:p>
        </w:tc>
        <w:tc>
          <w:tcPr>
            <w:tcW w:w="2387" w:type="dxa"/>
            <w:vAlign w:val="top"/>
          </w:tcPr>
          <w:p w14:paraId="6997B6DD">
            <w:pPr>
              <w:pStyle w:val="6"/>
              <w:spacing w:before="64" w:line="220" w:lineRule="auto"/>
              <w:ind w:left="343"/>
              <w:rPr>
                <w:sz w:val="24"/>
                <w:szCs w:val="24"/>
              </w:rPr>
            </w:pPr>
            <w:r>
              <w:rPr>
                <w:spacing w:val="1"/>
                <w:sz w:val="24"/>
                <w:szCs w:val="24"/>
              </w:rPr>
              <w:t>防酸服、防碱服</w:t>
            </w:r>
          </w:p>
        </w:tc>
        <w:tc>
          <w:tcPr>
            <w:tcW w:w="939" w:type="dxa"/>
            <w:vAlign w:val="top"/>
          </w:tcPr>
          <w:p w14:paraId="07C9606B">
            <w:pPr>
              <w:pStyle w:val="6"/>
              <w:spacing w:before="64" w:line="220" w:lineRule="auto"/>
              <w:ind w:left="227"/>
              <w:rPr>
                <w:sz w:val="24"/>
                <w:szCs w:val="24"/>
              </w:rPr>
            </w:pPr>
            <w:r>
              <w:rPr>
                <w:spacing w:val="4"/>
                <w:sz w:val="24"/>
                <w:szCs w:val="24"/>
              </w:rPr>
              <w:t>10套</w:t>
            </w:r>
          </w:p>
        </w:tc>
        <w:tc>
          <w:tcPr>
            <w:tcW w:w="1858" w:type="dxa"/>
            <w:vMerge w:val="restart"/>
            <w:tcBorders>
              <w:bottom w:val="nil"/>
            </w:tcBorders>
            <w:vAlign w:val="top"/>
          </w:tcPr>
          <w:p w14:paraId="11183806">
            <w:pPr>
              <w:spacing w:line="259" w:lineRule="auto"/>
              <w:rPr>
                <w:rFonts w:ascii="Arial"/>
                <w:sz w:val="21"/>
              </w:rPr>
            </w:pPr>
          </w:p>
          <w:p w14:paraId="43BD0130">
            <w:pPr>
              <w:spacing w:line="259" w:lineRule="auto"/>
              <w:rPr>
                <w:rFonts w:ascii="Arial"/>
                <w:sz w:val="21"/>
              </w:rPr>
            </w:pPr>
          </w:p>
          <w:p w14:paraId="4124FD60">
            <w:pPr>
              <w:spacing w:line="259" w:lineRule="auto"/>
              <w:rPr>
                <w:rFonts w:ascii="Arial"/>
                <w:sz w:val="21"/>
              </w:rPr>
            </w:pPr>
          </w:p>
          <w:p w14:paraId="2848C2CB">
            <w:pPr>
              <w:spacing w:line="260" w:lineRule="auto"/>
              <w:rPr>
                <w:rFonts w:ascii="Arial"/>
                <w:sz w:val="21"/>
              </w:rPr>
            </w:pPr>
          </w:p>
          <w:p w14:paraId="652DA277">
            <w:pPr>
              <w:spacing w:line="260" w:lineRule="auto"/>
              <w:rPr>
                <w:rFonts w:ascii="Arial"/>
                <w:sz w:val="21"/>
              </w:rPr>
            </w:pPr>
          </w:p>
          <w:p w14:paraId="766637B3">
            <w:pPr>
              <w:spacing w:line="260" w:lineRule="auto"/>
              <w:rPr>
                <w:rFonts w:ascii="Arial"/>
                <w:sz w:val="21"/>
              </w:rPr>
            </w:pPr>
          </w:p>
          <w:p w14:paraId="700F066E">
            <w:pPr>
              <w:spacing w:line="260" w:lineRule="auto"/>
              <w:rPr>
                <w:rFonts w:ascii="Arial"/>
                <w:sz w:val="21"/>
              </w:rPr>
            </w:pPr>
          </w:p>
          <w:p w14:paraId="07869118">
            <w:pPr>
              <w:spacing w:line="260" w:lineRule="auto"/>
              <w:rPr>
                <w:rFonts w:ascii="Arial"/>
                <w:sz w:val="21"/>
              </w:rPr>
            </w:pPr>
          </w:p>
          <w:p w14:paraId="5065BB85">
            <w:pPr>
              <w:spacing w:line="260" w:lineRule="auto"/>
              <w:rPr>
                <w:rFonts w:ascii="Arial"/>
                <w:sz w:val="21"/>
              </w:rPr>
            </w:pPr>
          </w:p>
          <w:p w14:paraId="6A5A4C91">
            <w:pPr>
              <w:spacing w:line="260" w:lineRule="auto"/>
              <w:rPr>
                <w:rFonts w:ascii="Arial"/>
                <w:sz w:val="21"/>
              </w:rPr>
            </w:pPr>
          </w:p>
          <w:p w14:paraId="23A25F2B">
            <w:pPr>
              <w:spacing w:line="260" w:lineRule="auto"/>
              <w:rPr>
                <w:rFonts w:ascii="Arial"/>
                <w:sz w:val="21"/>
              </w:rPr>
            </w:pPr>
          </w:p>
          <w:p w14:paraId="28552DC1">
            <w:pPr>
              <w:pStyle w:val="6"/>
              <w:spacing w:before="78" w:line="287" w:lineRule="auto"/>
              <w:ind w:left="687" w:right="188" w:hanging="480"/>
              <w:rPr>
                <w:sz w:val="24"/>
                <w:szCs w:val="24"/>
              </w:rPr>
            </w:pPr>
            <w:r>
              <w:rPr>
                <w:spacing w:val="1"/>
                <w:sz w:val="24"/>
                <w:szCs w:val="24"/>
              </w:rPr>
              <w:t>石拐区农林牧</w:t>
            </w:r>
            <w:r>
              <w:rPr>
                <w:spacing w:val="4"/>
                <w:sz w:val="24"/>
                <w:szCs w:val="24"/>
              </w:rPr>
              <w:t xml:space="preserve"> </w:t>
            </w:r>
            <w:r>
              <w:rPr>
                <w:spacing w:val="10"/>
                <w:sz w:val="24"/>
                <w:szCs w:val="24"/>
              </w:rPr>
              <w:t>水局</w:t>
            </w:r>
          </w:p>
        </w:tc>
        <w:tc>
          <w:tcPr>
            <w:tcW w:w="1064" w:type="dxa"/>
            <w:vMerge w:val="restart"/>
            <w:tcBorders>
              <w:bottom w:val="nil"/>
            </w:tcBorders>
            <w:vAlign w:val="top"/>
          </w:tcPr>
          <w:p w14:paraId="11C12F6B">
            <w:pPr>
              <w:spacing w:line="316" w:lineRule="auto"/>
              <w:rPr>
                <w:rFonts w:ascii="Arial"/>
                <w:sz w:val="21"/>
              </w:rPr>
            </w:pPr>
          </w:p>
          <w:p w14:paraId="6679D072">
            <w:pPr>
              <w:spacing w:line="316" w:lineRule="auto"/>
              <w:rPr>
                <w:rFonts w:ascii="Arial"/>
                <w:sz w:val="21"/>
              </w:rPr>
            </w:pPr>
          </w:p>
          <w:p w14:paraId="6266A6A8">
            <w:pPr>
              <w:spacing w:line="317" w:lineRule="auto"/>
              <w:rPr>
                <w:rFonts w:ascii="Arial"/>
                <w:sz w:val="21"/>
              </w:rPr>
            </w:pPr>
          </w:p>
          <w:p w14:paraId="46D80186">
            <w:pPr>
              <w:pStyle w:val="6"/>
              <w:spacing w:before="78" w:line="272" w:lineRule="auto"/>
              <w:ind w:left="409" w:right="146" w:hanging="239"/>
              <w:rPr>
                <w:sz w:val="24"/>
                <w:szCs w:val="24"/>
              </w:rPr>
            </w:pPr>
            <w:r>
              <w:rPr>
                <w:spacing w:val="5"/>
                <w:sz w:val="24"/>
                <w:szCs w:val="24"/>
              </w:rPr>
              <w:t>定期补</w:t>
            </w:r>
            <w:r>
              <w:rPr>
                <w:spacing w:val="1"/>
                <w:sz w:val="24"/>
                <w:szCs w:val="24"/>
              </w:rPr>
              <w:t xml:space="preserve"> </w:t>
            </w:r>
            <w:r>
              <w:rPr>
                <w:sz w:val="24"/>
                <w:szCs w:val="24"/>
              </w:rPr>
              <w:t>充</w:t>
            </w:r>
          </w:p>
        </w:tc>
      </w:tr>
      <w:tr w14:paraId="7EC92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83" w:type="dxa"/>
            <w:vMerge w:val="continue"/>
            <w:tcBorders>
              <w:top w:val="nil"/>
              <w:bottom w:val="nil"/>
            </w:tcBorders>
            <w:vAlign w:val="top"/>
          </w:tcPr>
          <w:p w14:paraId="13BA1ADC">
            <w:pPr>
              <w:rPr>
                <w:rFonts w:ascii="Arial"/>
                <w:sz w:val="21"/>
              </w:rPr>
            </w:pPr>
          </w:p>
        </w:tc>
        <w:tc>
          <w:tcPr>
            <w:tcW w:w="1258" w:type="dxa"/>
            <w:vAlign w:val="top"/>
          </w:tcPr>
          <w:p w14:paraId="5DD7926C">
            <w:pPr>
              <w:pStyle w:val="6"/>
              <w:spacing w:before="73" w:line="219" w:lineRule="auto"/>
              <w:ind w:left="141"/>
              <w:rPr>
                <w:sz w:val="24"/>
                <w:szCs w:val="24"/>
              </w:rPr>
            </w:pPr>
            <w:r>
              <w:rPr>
                <w:spacing w:val="4"/>
                <w:sz w:val="24"/>
                <w:szCs w:val="24"/>
              </w:rPr>
              <w:t>头部防护</w:t>
            </w:r>
          </w:p>
        </w:tc>
        <w:tc>
          <w:tcPr>
            <w:tcW w:w="2387" w:type="dxa"/>
            <w:vAlign w:val="top"/>
          </w:tcPr>
          <w:p w14:paraId="04814EED">
            <w:pPr>
              <w:pStyle w:val="6"/>
              <w:spacing w:before="72" w:line="219" w:lineRule="auto"/>
              <w:ind w:left="823"/>
              <w:rPr>
                <w:sz w:val="24"/>
                <w:szCs w:val="24"/>
              </w:rPr>
            </w:pPr>
            <w:r>
              <w:rPr>
                <w:spacing w:val="6"/>
                <w:sz w:val="24"/>
                <w:szCs w:val="24"/>
              </w:rPr>
              <w:t>安全帽</w:t>
            </w:r>
          </w:p>
        </w:tc>
        <w:tc>
          <w:tcPr>
            <w:tcW w:w="939" w:type="dxa"/>
            <w:vAlign w:val="top"/>
          </w:tcPr>
          <w:p w14:paraId="34361804">
            <w:pPr>
              <w:pStyle w:val="6"/>
              <w:spacing w:before="73" w:line="219" w:lineRule="auto"/>
              <w:ind w:left="227"/>
              <w:rPr>
                <w:sz w:val="24"/>
                <w:szCs w:val="24"/>
              </w:rPr>
            </w:pPr>
            <w:r>
              <w:rPr>
                <w:spacing w:val="3"/>
                <w:sz w:val="24"/>
                <w:szCs w:val="24"/>
              </w:rPr>
              <w:t>10个</w:t>
            </w:r>
          </w:p>
        </w:tc>
        <w:tc>
          <w:tcPr>
            <w:tcW w:w="1858" w:type="dxa"/>
            <w:vMerge w:val="continue"/>
            <w:tcBorders>
              <w:top w:val="nil"/>
              <w:bottom w:val="nil"/>
            </w:tcBorders>
            <w:vAlign w:val="top"/>
          </w:tcPr>
          <w:p w14:paraId="162A0F2B">
            <w:pPr>
              <w:rPr>
                <w:rFonts w:ascii="Arial"/>
                <w:sz w:val="21"/>
              </w:rPr>
            </w:pPr>
          </w:p>
        </w:tc>
        <w:tc>
          <w:tcPr>
            <w:tcW w:w="1064" w:type="dxa"/>
            <w:vMerge w:val="continue"/>
            <w:tcBorders>
              <w:top w:val="nil"/>
              <w:bottom w:val="nil"/>
            </w:tcBorders>
            <w:vAlign w:val="top"/>
          </w:tcPr>
          <w:p w14:paraId="50B04273">
            <w:pPr>
              <w:rPr>
                <w:rFonts w:ascii="Arial"/>
                <w:sz w:val="21"/>
              </w:rPr>
            </w:pPr>
          </w:p>
        </w:tc>
      </w:tr>
      <w:tr w14:paraId="13477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83" w:type="dxa"/>
            <w:vMerge w:val="continue"/>
            <w:tcBorders>
              <w:top w:val="nil"/>
              <w:bottom w:val="nil"/>
            </w:tcBorders>
            <w:vAlign w:val="top"/>
          </w:tcPr>
          <w:p w14:paraId="24AA38B1">
            <w:pPr>
              <w:rPr>
                <w:rFonts w:ascii="Arial"/>
                <w:sz w:val="21"/>
              </w:rPr>
            </w:pPr>
          </w:p>
        </w:tc>
        <w:tc>
          <w:tcPr>
            <w:tcW w:w="1258" w:type="dxa"/>
            <w:vMerge w:val="restart"/>
            <w:tcBorders>
              <w:bottom w:val="nil"/>
            </w:tcBorders>
            <w:vAlign w:val="top"/>
          </w:tcPr>
          <w:p w14:paraId="209A80AD">
            <w:pPr>
              <w:pStyle w:val="6"/>
              <w:spacing w:before="264" w:line="219" w:lineRule="auto"/>
              <w:ind w:left="141"/>
              <w:rPr>
                <w:sz w:val="24"/>
                <w:szCs w:val="24"/>
              </w:rPr>
            </w:pPr>
            <w:r>
              <w:rPr>
                <w:spacing w:val="4"/>
                <w:sz w:val="24"/>
                <w:szCs w:val="24"/>
              </w:rPr>
              <w:t>手部防护</w:t>
            </w:r>
          </w:p>
        </w:tc>
        <w:tc>
          <w:tcPr>
            <w:tcW w:w="2387" w:type="dxa"/>
            <w:vAlign w:val="top"/>
          </w:tcPr>
          <w:p w14:paraId="3B84CD65">
            <w:pPr>
              <w:pStyle w:val="6"/>
              <w:spacing w:before="64" w:line="220" w:lineRule="auto"/>
              <w:ind w:left="583"/>
              <w:rPr>
                <w:sz w:val="24"/>
                <w:szCs w:val="24"/>
              </w:rPr>
            </w:pPr>
            <w:r>
              <w:rPr>
                <w:spacing w:val="2"/>
                <w:sz w:val="24"/>
                <w:szCs w:val="24"/>
              </w:rPr>
              <w:t>防酸碱手套</w:t>
            </w:r>
          </w:p>
        </w:tc>
        <w:tc>
          <w:tcPr>
            <w:tcW w:w="939" w:type="dxa"/>
            <w:vAlign w:val="top"/>
          </w:tcPr>
          <w:p w14:paraId="2C8D87CD">
            <w:pPr>
              <w:pStyle w:val="6"/>
              <w:spacing w:before="64" w:line="220" w:lineRule="auto"/>
              <w:ind w:left="227"/>
              <w:rPr>
                <w:sz w:val="24"/>
                <w:szCs w:val="24"/>
              </w:rPr>
            </w:pPr>
            <w:r>
              <w:rPr>
                <w:spacing w:val="4"/>
                <w:sz w:val="24"/>
                <w:szCs w:val="24"/>
              </w:rPr>
              <w:t>10套</w:t>
            </w:r>
          </w:p>
        </w:tc>
        <w:tc>
          <w:tcPr>
            <w:tcW w:w="1858" w:type="dxa"/>
            <w:vMerge w:val="continue"/>
            <w:tcBorders>
              <w:top w:val="nil"/>
              <w:bottom w:val="nil"/>
            </w:tcBorders>
            <w:vAlign w:val="top"/>
          </w:tcPr>
          <w:p w14:paraId="1CC1E015">
            <w:pPr>
              <w:rPr>
                <w:rFonts w:ascii="Arial"/>
                <w:sz w:val="21"/>
              </w:rPr>
            </w:pPr>
          </w:p>
        </w:tc>
        <w:tc>
          <w:tcPr>
            <w:tcW w:w="1064" w:type="dxa"/>
            <w:vMerge w:val="continue"/>
            <w:tcBorders>
              <w:top w:val="nil"/>
              <w:bottom w:val="nil"/>
            </w:tcBorders>
            <w:vAlign w:val="top"/>
          </w:tcPr>
          <w:p w14:paraId="2D2858B9">
            <w:pPr>
              <w:rPr>
                <w:rFonts w:ascii="Arial"/>
                <w:sz w:val="21"/>
              </w:rPr>
            </w:pPr>
          </w:p>
        </w:tc>
      </w:tr>
      <w:tr w14:paraId="7B712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083" w:type="dxa"/>
            <w:vMerge w:val="continue"/>
            <w:tcBorders>
              <w:top w:val="nil"/>
              <w:bottom w:val="nil"/>
            </w:tcBorders>
            <w:vAlign w:val="top"/>
          </w:tcPr>
          <w:p w14:paraId="7B5E0ABB">
            <w:pPr>
              <w:rPr>
                <w:rFonts w:ascii="Arial"/>
                <w:sz w:val="21"/>
              </w:rPr>
            </w:pPr>
          </w:p>
        </w:tc>
        <w:tc>
          <w:tcPr>
            <w:tcW w:w="1258" w:type="dxa"/>
            <w:vMerge w:val="continue"/>
            <w:tcBorders>
              <w:top w:val="nil"/>
            </w:tcBorders>
            <w:vAlign w:val="top"/>
          </w:tcPr>
          <w:p w14:paraId="6DC5511E">
            <w:pPr>
              <w:rPr>
                <w:rFonts w:ascii="Arial"/>
                <w:sz w:val="21"/>
              </w:rPr>
            </w:pPr>
          </w:p>
        </w:tc>
        <w:tc>
          <w:tcPr>
            <w:tcW w:w="2387" w:type="dxa"/>
            <w:vAlign w:val="top"/>
          </w:tcPr>
          <w:p w14:paraId="40651A33">
            <w:pPr>
              <w:pStyle w:val="6"/>
              <w:spacing w:before="74" w:line="220" w:lineRule="auto"/>
              <w:ind w:left="464"/>
              <w:rPr>
                <w:sz w:val="24"/>
                <w:szCs w:val="24"/>
              </w:rPr>
            </w:pPr>
            <w:r>
              <w:rPr>
                <w:spacing w:val="2"/>
                <w:sz w:val="24"/>
                <w:szCs w:val="24"/>
              </w:rPr>
              <w:t>防化学品手套</w:t>
            </w:r>
          </w:p>
        </w:tc>
        <w:tc>
          <w:tcPr>
            <w:tcW w:w="939" w:type="dxa"/>
            <w:vAlign w:val="top"/>
          </w:tcPr>
          <w:p w14:paraId="78EDAE87">
            <w:pPr>
              <w:pStyle w:val="6"/>
              <w:spacing w:before="74" w:line="220" w:lineRule="auto"/>
              <w:ind w:left="227"/>
              <w:rPr>
                <w:sz w:val="24"/>
                <w:szCs w:val="24"/>
              </w:rPr>
            </w:pPr>
            <w:r>
              <w:rPr>
                <w:spacing w:val="4"/>
                <w:sz w:val="24"/>
                <w:szCs w:val="24"/>
              </w:rPr>
              <w:t>10套</w:t>
            </w:r>
          </w:p>
        </w:tc>
        <w:tc>
          <w:tcPr>
            <w:tcW w:w="1858" w:type="dxa"/>
            <w:vMerge w:val="continue"/>
            <w:tcBorders>
              <w:top w:val="nil"/>
              <w:bottom w:val="nil"/>
            </w:tcBorders>
            <w:vAlign w:val="top"/>
          </w:tcPr>
          <w:p w14:paraId="2D0DBF2A">
            <w:pPr>
              <w:rPr>
                <w:rFonts w:ascii="Arial"/>
                <w:sz w:val="21"/>
              </w:rPr>
            </w:pPr>
          </w:p>
        </w:tc>
        <w:tc>
          <w:tcPr>
            <w:tcW w:w="1064" w:type="dxa"/>
            <w:vMerge w:val="continue"/>
            <w:tcBorders>
              <w:top w:val="nil"/>
              <w:bottom w:val="nil"/>
            </w:tcBorders>
            <w:vAlign w:val="top"/>
          </w:tcPr>
          <w:p w14:paraId="3BD59A13">
            <w:pPr>
              <w:rPr>
                <w:rFonts w:ascii="Arial"/>
                <w:sz w:val="21"/>
              </w:rPr>
            </w:pPr>
          </w:p>
        </w:tc>
      </w:tr>
      <w:tr w14:paraId="6D53C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083" w:type="dxa"/>
            <w:vMerge w:val="continue"/>
            <w:tcBorders>
              <w:top w:val="nil"/>
              <w:bottom w:val="nil"/>
            </w:tcBorders>
            <w:vAlign w:val="top"/>
          </w:tcPr>
          <w:p w14:paraId="007A10CC">
            <w:pPr>
              <w:rPr>
                <w:rFonts w:ascii="Arial"/>
                <w:sz w:val="21"/>
              </w:rPr>
            </w:pPr>
          </w:p>
        </w:tc>
        <w:tc>
          <w:tcPr>
            <w:tcW w:w="1258" w:type="dxa"/>
            <w:vMerge w:val="restart"/>
            <w:tcBorders>
              <w:bottom w:val="nil"/>
            </w:tcBorders>
            <w:vAlign w:val="top"/>
          </w:tcPr>
          <w:p w14:paraId="4F79BBDB">
            <w:pPr>
              <w:spacing w:line="353" w:lineRule="auto"/>
              <w:rPr>
                <w:rFonts w:ascii="Arial"/>
                <w:sz w:val="21"/>
              </w:rPr>
            </w:pPr>
          </w:p>
          <w:p w14:paraId="08F14A0B">
            <w:pPr>
              <w:pStyle w:val="6"/>
              <w:spacing w:before="78" w:line="219" w:lineRule="auto"/>
              <w:ind w:left="141"/>
              <w:rPr>
                <w:sz w:val="24"/>
                <w:szCs w:val="24"/>
              </w:rPr>
            </w:pPr>
            <w:r>
              <w:rPr>
                <w:spacing w:val="4"/>
                <w:sz w:val="24"/>
                <w:szCs w:val="24"/>
              </w:rPr>
              <w:t>足部防护</w:t>
            </w:r>
          </w:p>
        </w:tc>
        <w:tc>
          <w:tcPr>
            <w:tcW w:w="2387" w:type="dxa"/>
            <w:vAlign w:val="top"/>
          </w:tcPr>
          <w:p w14:paraId="3C7A51A3">
            <w:pPr>
              <w:pStyle w:val="6"/>
              <w:spacing w:before="64" w:line="211" w:lineRule="auto"/>
              <w:ind w:left="704"/>
              <w:rPr>
                <w:sz w:val="24"/>
                <w:szCs w:val="24"/>
              </w:rPr>
            </w:pPr>
            <w:r>
              <w:rPr>
                <w:spacing w:val="2"/>
                <w:sz w:val="24"/>
                <w:szCs w:val="24"/>
              </w:rPr>
              <w:t>防酸碱鞋</w:t>
            </w:r>
          </w:p>
        </w:tc>
        <w:tc>
          <w:tcPr>
            <w:tcW w:w="939" w:type="dxa"/>
            <w:vAlign w:val="top"/>
          </w:tcPr>
          <w:p w14:paraId="2B5D4B5F">
            <w:pPr>
              <w:pStyle w:val="6"/>
              <w:spacing w:before="64" w:line="211" w:lineRule="auto"/>
              <w:ind w:left="227"/>
              <w:rPr>
                <w:sz w:val="24"/>
                <w:szCs w:val="24"/>
              </w:rPr>
            </w:pPr>
            <w:r>
              <w:rPr>
                <w:spacing w:val="4"/>
                <w:sz w:val="24"/>
                <w:szCs w:val="24"/>
              </w:rPr>
              <w:t>10套</w:t>
            </w:r>
          </w:p>
        </w:tc>
        <w:tc>
          <w:tcPr>
            <w:tcW w:w="1858" w:type="dxa"/>
            <w:vMerge w:val="continue"/>
            <w:tcBorders>
              <w:top w:val="nil"/>
              <w:bottom w:val="nil"/>
            </w:tcBorders>
            <w:vAlign w:val="top"/>
          </w:tcPr>
          <w:p w14:paraId="1B72C502">
            <w:pPr>
              <w:rPr>
                <w:rFonts w:ascii="Arial"/>
                <w:sz w:val="21"/>
              </w:rPr>
            </w:pPr>
          </w:p>
        </w:tc>
        <w:tc>
          <w:tcPr>
            <w:tcW w:w="1064" w:type="dxa"/>
            <w:vMerge w:val="continue"/>
            <w:tcBorders>
              <w:top w:val="nil"/>
              <w:bottom w:val="nil"/>
            </w:tcBorders>
            <w:vAlign w:val="top"/>
          </w:tcPr>
          <w:p w14:paraId="1FFA594A">
            <w:pPr>
              <w:rPr>
                <w:rFonts w:ascii="Arial"/>
                <w:sz w:val="21"/>
              </w:rPr>
            </w:pPr>
          </w:p>
        </w:tc>
      </w:tr>
      <w:tr w14:paraId="35EE7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083" w:type="dxa"/>
            <w:vMerge w:val="continue"/>
            <w:tcBorders>
              <w:top w:val="nil"/>
            </w:tcBorders>
            <w:vAlign w:val="top"/>
          </w:tcPr>
          <w:p w14:paraId="7C38FA47">
            <w:pPr>
              <w:rPr>
                <w:rFonts w:ascii="Arial"/>
                <w:sz w:val="21"/>
              </w:rPr>
            </w:pPr>
          </w:p>
        </w:tc>
        <w:tc>
          <w:tcPr>
            <w:tcW w:w="1258" w:type="dxa"/>
            <w:vMerge w:val="continue"/>
            <w:tcBorders>
              <w:top w:val="nil"/>
            </w:tcBorders>
            <w:vAlign w:val="top"/>
          </w:tcPr>
          <w:p w14:paraId="03163404">
            <w:pPr>
              <w:rPr>
                <w:rFonts w:ascii="Arial"/>
                <w:sz w:val="21"/>
              </w:rPr>
            </w:pPr>
          </w:p>
        </w:tc>
        <w:tc>
          <w:tcPr>
            <w:tcW w:w="2387" w:type="dxa"/>
            <w:vAlign w:val="top"/>
          </w:tcPr>
          <w:p w14:paraId="5559921E">
            <w:pPr>
              <w:pStyle w:val="6"/>
              <w:spacing w:before="95" w:line="219" w:lineRule="auto"/>
              <w:ind w:left="104"/>
              <w:rPr>
                <w:sz w:val="24"/>
                <w:szCs w:val="24"/>
              </w:rPr>
            </w:pPr>
            <w:r>
              <w:rPr>
                <w:color w:val="404040"/>
                <w:spacing w:val="1"/>
                <w:sz w:val="24"/>
                <w:szCs w:val="24"/>
              </w:rPr>
              <w:t>耐化学品的工业橡胶</w:t>
            </w:r>
          </w:p>
          <w:p w14:paraId="52B66B83">
            <w:pPr>
              <w:pStyle w:val="6"/>
              <w:spacing w:before="66" w:line="210" w:lineRule="auto"/>
              <w:ind w:left="1063"/>
              <w:rPr>
                <w:sz w:val="24"/>
                <w:szCs w:val="24"/>
              </w:rPr>
            </w:pPr>
            <w:r>
              <w:rPr>
                <w:sz w:val="24"/>
                <w:szCs w:val="24"/>
              </w:rPr>
              <w:t>鞋</w:t>
            </w:r>
          </w:p>
        </w:tc>
        <w:tc>
          <w:tcPr>
            <w:tcW w:w="939" w:type="dxa"/>
            <w:vAlign w:val="top"/>
          </w:tcPr>
          <w:p w14:paraId="6709E0CA">
            <w:pPr>
              <w:pStyle w:val="6"/>
              <w:spacing w:before="255" w:line="220" w:lineRule="auto"/>
              <w:ind w:left="227"/>
              <w:rPr>
                <w:sz w:val="24"/>
                <w:szCs w:val="24"/>
              </w:rPr>
            </w:pPr>
            <w:r>
              <w:rPr>
                <w:spacing w:val="4"/>
                <w:sz w:val="24"/>
                <w:szCs w:val="24"/>
              </w:rPr>
              <w:t>10套</w:t>
            </w:r>
          </w:p>
        </w:tc>
        <w:tc>
          <w:tcPr>
            <w:tcW w:w="1858" w:type="dxa"/>
            <w:vMerge w:val="continue"/>
            <w:tcBorders>
              <w:top w:val="nil"/>
              <w:bottom w:val="nil"/>
            </w:tcBorders>
            <w:vAlign w:val="top"/>
          </w:tcPr>
          <w:p w14:paraId="1A8BEFC5">
            <w:pPr>
              <w:rPr>
                <w:rFonts w:ascii="Arial"/>
                <w:sz w:val="21"/>
              </w:rPr>
            </w:pPr>
          </w:p>
        </w:tc>
        <w:tc>
          <w:tcPr>
            <w:tcW w:w="1064" w:type="dxa"/>
            <w:vMerge w:val="continue"/>
            <w:tcBorders>
              <w:top w:val="nil"/>
            </w:tcBorders>
            <w:vAlign w:val="top"/>
          </w:tcPr>
          <w:p w14:paraId="2874E278">
            <w:pPr>
              <w:rPr>
                <w:rFonts w:ascii="Arial"/>
                <w:sz w:val="21"/>
              </w:rPr>
            </w:pPr>
          </w:p>
        </w:tc>
      </w:tr>
      <w:tr w14:paraId="14A66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83" w:type="dxa"/>
            <w:vMerge w:val="restart"/>
            <w:tcBorders>
              <w:bottom w:val="nil"/>
            </w:tcBorders>
            <w:vAlign w:val="top"/>
          </w:tcPr>
          <w:p w14:paraId="7F087E00">
            <w:pPr>
              <w:spacing w:line="277" w:lineRule="auto"/>
              <w:rPr>
                <w:rFonts w:ascii="Arial"/>
                <w:sz w:val="21"/>
              </w:rPr>
            </w:pPr>
          </w:p>
          <w:p w14:paraId="224030D0">
            <w:pPr>
              <w:spacing w:line="278" w:lineRule="auto"/>
              <w:rPr>
                <w:rFonts w:ascii="Arial"/>
                <w:sz w:val="21"/>
              </w:rPr>
            </w:pPr>
          </w:p>
          <w:p w14:paraId="0E75997A">
            <w:pPr>
              <w:spacing w:line="278" w:lineRule="auto"/>
              <w:rPr>
                <w:rFonts w:ascii="Arial"/>
                <w:sz w:val="21"/>
              </w:rPr>
            </w:pPr>
          </w:p>
          <w:p w14:paraId="1791B2DF">
            <w:pPr>
              <w:spacing w:line="278" w:lineRule="auto"/>
              <w:rPr>
                <w:rFonts w:ascii="Arial"/>
                <w:sz w:val="21"/>
              </w:rPr>
            </w:pPr>
          </w:p>
          <w:p w14:paraId="40CF5A46">
            <w:pPr>
              <w:spacing w:line="278" w:lineRule="auto"/>
              <w:rPr>
                <w:rFonts w:ascii="Arial"/>
                <w:sz w:val="21"/>
              </w:rPr>
            </w:pPr>
          </w:p>
          <w:p w14:paraId="0427C972">
            <w:pPr>
              <w:pStyle w:val="6"/>
              <w:spacing w:before="78" w:line="220" w:lineRule="auto"/>
              <w:ind w:left="174"/>
              <w:rPr>
                <w:sz w:val="24"/>
                <w:szCs w:val="24"/>
              </w:rPr>
            </w:pPr>
            <w:r>
              <w:rPr>
                <w:spacing w:val="4"/>
                <w:sz w:val="24"/>
                <w:szCs w:val="24"/>
              </w:rPr>
              <w:t>污染物</w:t>
            </w:r>
          </w:p>
          <w:p w14:paraId="0D60A9D6">
            <w:pPr>
              <w:pStyle w:val="6"/>
              <w:spacing w:before="84" w:line="280" w:lineRule="auto"/>
              <w:ind w:left="413" w:right="165" w:hanging="239"/>
              <w:rPr>
                <w:sz w:val="24"/>
                <w:szCs w:val="24"/>
              </w:rPr>
            </w:pPr>
            <w:r>
              <w:rPr>
                <w:spacing w:val="4"/>
                <w:sz w:val="24"/>
                <w:szCs w:val="24"/>
              </w:rPr>
              <w:t>控制物</w:t>
            </w:r>
            <w:r>
              <w:rPr>
                <w:sz w:val="24"/>
                <w:szCs w:val="24"/>
              </w:rPr>
              <w:t xml:space="preserve"> 资</w:t>
            </w:r>
          </w:p>
        </w:tc>
        <w:tc>
          <w:tcPr>
            <w:tcW w:w="1258" w:type="dxa"/>
            <w:vMerge w:val="restart"/>
            <w:tcBorders>
              <w:bottom w:val="nil"/>
            </w:tcBorders>
            <w:vAlign w:val="top"/>
          </w:tcPr>
          <w:p w14:paraId="097B9300">
            <w:pPr>
              <w:pStyle w:val="6"/>
              <w:spacing w:before="285" w:line="219" w:lineRule="auto"/>
              <w:ind w:left="261"/>
              <w:rPr>
                <w:sz w:val="24"/>
                <w:szCs w:val="24"/>
              </w:rPr>
            </w:pPr>
            <w:r>
              <w:rPr>
                <w:spacing w:val="3"/>
                <w:sz w:val="24"/>
                <w:szCs w:val="24"/>
              </w:rPr>
              <w:t>围堵类</w:t>
            </w:r>
          </w:p>
        </w:tc>
        <w:tc>
          <w:tcPr>
            <w:tcW w:w="2387" w:type="dxa"/>
            <w:vAlign w:val="top"/>
          </w:tcPr>
          <w:p w14:paraId="234E3ADA">
            <w:pPr>
              <w:pStyle w:val="6"/>
              <w:spacing w:before="99" w:line="222" w:lineRule="auto"/>
              <w:ind w:left="704"/>
              <w:rPr>
                <w:sz w:val="24"/>
                <w:szCs w:val="24"/>
              </w:rPr>
            </w:pPr>
            <w:r>
              <w:rPr>
                <w:spacing w:val="2"/>
                <w:sz w:val="24"/>
                <w:szCs w:val="24"/>
              </w:rPr>
              <w:t>沙包沙袋</w:t>
            </w:r>
          </w:p>
        </w:tc>
        <w:tc>
          <w:tcPr>
            <w:tcW w:w="939" w:type="dxa"/>
            <w:vAlign w:val="top"/>
          </w:tcPr>
          <w:p w14:paraId="4C8C4CE6">
            <w:pPr>
              <w:pStyle w:val="6"/>
              <w:spacing w:before="99" w:line="222" w:lineRule="auto"/>
              <w:ind w:left="227"/>
              <w:rPr>
                <w:sz w:val="24"/>
                <w:szCs w:val="24"/>
              </w:rPr>
            </w:pPr>
            <w:r>
              <w:rPr>
                <w:spacing w:val="3"/>
                <w:sz w:val="24"/>
                <w:szCs w:val="24"/>
              </w:rPr>
              <w:t>50袋</w:t>
            </w:r>
          </w:p>
        </w:tc>
        <w:tc>
          <w:tcPr>
            <w:tcW w:w="1858" w:type="dxa"/>
            <w:vMerge w:val="continue"/>
            <w:tcBorders>
              <w:top w:val="nil"/>
              <w:bottom w:val="nil"/>
            </w:tcBorders>
            <w:vAlign w:val="top"/>
          </w:tcPr>
          <w:p w14:paraId="66A6205E">
            <w:pPr>
              <w:rPr>
                <w:rFonts w:ascii="Arial"/>
                <w:sz w:val="21"/>
              </w:rPr>
            </w:pPr>
          </w:p>
        </w:tc>
        <w:tc>
          <w:tcPr>
            <w:tcW w:w="1064" w:type="dxa"/>
            <w:vMerge w:val="restart"/>
            <w:tcBorders>
              <w:bottom w:val="nil"/>
            </w:tcBorders>
            <w:vAlign w:val="top"/>
          </w:tcPr>
          <w:p w14:paraId="33FD0BD2">
            <w:pPr>
              <w:pStyle w:val="6"/>
              <w:spacing w:before="284" w:line="219" w:lineRule="auto"/>
              <w:ind w:left="289"/>
              <w:rPr>
                <w:sz w:val="24"/>
                <w:szCs w:val="24"/>
              </w:rPr>
            </w:pPr>
            <w:r>
              <w:rPr>
                <w:spacing w:val="6"/>
                <w:sz w:val="24"/>
                <w:szCs w:val="24"/>
              </w:rPr>
              <w:t>采购</w:t>
            </w:r>
          </w:p>
        </w:tc>
      </w:tr>
      <w:tr w14:paraId="1B9C9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83" w:type="dxa"/>
            <w:vMerge w:val="continue"/>
            <w:tcBorders>
              <w:top w:val="nil"/>
              <w:bottom w:val="nil"/>
            </w:tcBorders>
            <w:vAlign w:val="top"/>
          </w:tcPr>
          <w:p w14:paraId="7DBF0AD4">
            <w:pPr>
              <w:rPr>
                <w:rFonts w:ascii="Arial"/>
                <w:sz w:val="21"/>
              </w:rPr>
            </w:pPr>
          </w:p>
        </w:tc>
        <w:tc>
          <w:tcPr>
            <w:tcW w:w="1258" w:type="dxa"/>
            <w:vMerge w:val="continue"/>
            <w:tcBorders>
              <w:top w:val="nil"/>
            </w:tcBorders>
            <w:vAlign w:val="top"/>
          </w:tcPr>
          <w:p w14:paraId="54092452">
            <w:pPr>
              <w:rPr>
                <w:rFonts w:ascii="Arial"/>
                <w:sz w:val="21"/>
              </w:rPr>
            </w:pPr>
          </w:p>
        </w:tc>
        <w:tc>
          <w:tcPr>
            <w:tcW w:w="2387" w:type="dxa"/>
            <w:vAlign w:val="top"/>
          </w:tcPr>
          <w:p w14:paraId="1374012E">
            <w:pPr>
              <w:pStyle w:val="6"/>
              <w:spacing w:before="76" w:line="218" w:lineRule="auto"/>
              <w:ind w:left="823"/>
              <w:rPr>
                <w:sz w:val="24"/>
                <w:szCs w:val="24"/>
              </w:rPr>
            </w:pPr>
            <w:r>
              <w:rPr>
                <w:spacing w:val="5"/>
                <w:sz w:val="24"/>
                <w:szCs w:val="24"/>
              </w:rPr>
              <w:t>围油索</w:t>
            </w:r>
          </w:p>
        </w:tc>
        <w:tc>
          <w:tcPr>
            <w:tcW w:w="939" w:type="dxa"/>
            <w:vAlign w:val="top"/>
          </w:tcPr>
          <w:p w14:paraId="647B9E65">
            <w:pPr>
              <w:pStyle w:val="6"/>
              <w:spacing w:before="100" w:line="200" w:lineRule="auto"/>
              <w:ind w:left="167"/>
              <w:rPr>
                <w:sz w:val="24"/>
                <w:szCs w:val="24"/>
              </w:rPr>
            </w:pPr>
            <w:r>
              <w:rPr>
                <w:spacing w:val="-5"/>
                <w:sz w:val="24"/>
                <w:szCs w:val="24"/>
              </w:rPr>
              <w:t>1000m</w:t>
            </w:r>
          </w:p>
        </w:tc>
        <w:tc>
          <w:tcPr>
            <w:tcW w:w="1858" w:type="dxa"/>
            <w:vMerge w:val="continue"/>
            <w:tcBorders>
              <w:top w:val="nil"/>
              <w:bottom w:val="nil"/>
            </w:tcBorders>
            <w:vAlign w:val="top"/>
          </w:tcPr>
          <w:p w14:paraId="5C3F6E20">
            <w:pPr>
              <w:rPr>
                <w:rFonts w:ascii="Arial"/>
                <w:sz w:val="21"/>
              </w:rPr>
            </w:pPr>
          </w:p>
        </w:tc>
        <w:tc>
          <w:tcPr>
            <w:tcW w:w="1064" w:type="dxa"/>
            <w:vMerge w:val="continue"/>
            <w:tcBorders>
              <w:top w:val="nil"/>
            </w:tcBorders>
            <w:vAlign w:val="top"/>
          </w:tcPr>
          <w:p w14:paraId="504B1266">
            <w:pPr>
              <w:rPr>
                <w:rFonts w:ascii="Arial"/>
                <w:sz w:val="21"/>
              </w:rPr>
            </w:pPr>
          </w:p>
        </w:tc>
      </w:tr>
      <w:tr w14:paraId="66C76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083" w:type="dxa"/>
            <w:vMerge w:val="continue"/>
            <w:tcBorders>
              <w:top w:val="nil"/>
              <w:bottom w:val="nil"/>
            </w:tcBorders>
            <w:vAlign w:val="top"/>
          </w:tcPr>
          <w:p w14:paraId="72CCCE04">
            <w:pPr>
              <w:rPr>
                <w:rFonts w:ascii="Arial"/>
                <w:sz w:val="21"/>
              </w:rPr>
            </w:pPr>
          </w:p>
        </w:tc>
        <w:tc>
          <w:tcPr>
            <w:tcW w:w="1258" w:type="dxa"/>
            <w:vMerge w:val="restart"/>
            <w:tcBorders>
              <w:bottom w:val="nil"/>
            </w:tcBorders>
            <w:vAlign w:val="top"/>
          </w:tcPr>
          <w:p w14:paraId="226A82B5">
            <w:pPr>
              <w:spacing w:line="247" w:lineRule="auto"/>
              <w:rPr>
                <w:rFonts w:ascii="Arial"/>
                <w:sz w:val="21"/>
              </w:rPr>
            </w:pPr>
          </w:p>
          <w:p w14:paraId="678CD620">
            <w:pPr>
              <w:spacing w:line="247" w:lineRule="auto"/>
              <w:rPr>
                <w:rFonts w:ascii="Arial"/>
                <w:sz w:val="21"/>
              </w:rPr>
            </w:pPr>
          </w:p>
          <w:p w14:paraId="06C818B8">
            <w:pPr>
              <w:spacing w:line="247" w:lineRule="auto"/>
              <w:rPr>
                <w:rFonts w:ascii="Arial"/>
                <w:sz w:val="21"/>
              </w:rPr>
            </w:pPr>
          </w:p>
          <w:p w14:paraId="2AA8131B">
            <w:pPr>
              <w:pStyle w:val="6"/>
              <w:spacing w:before="78" w:line="219" w:lineRule="auto"/>
              <w:ind w:left="261"/>
              <w:rPr>
                <w:sz w:val="24"/>
                <w:szCs w:val="24"/>
              </w:rPr>
            </w:pPr>
            <w:r>
              <w:rPr>
                <w:spacing w:val="4"/>
                <w:sz w:val="24"/>
                <w:szCs w:val="24"/>
              </w:rPr>
              <w:t>吸附剂</w:t>
            </w:r>
          </w:p>
        </w:tc>
        <w:tc>
          <w:tcPr>
            <w:tcW w:w="2387" w:type="dxa"/>
            <w:vAlign w:val="top"/>
          </w:tcPr>
          <w:p w14:paraId="06CB4C0D">
            <w:pPr>
              <w:pStyle w:val="6"/>
              <w:spacing w:before="206" w:line="220" w:lineRule="auto"/>
              <w:ind w:left="823"/>
              <w:rPr>
                <w:sz w:val="24"/>
                <w:szCs w:val="24"/>
              </w:rPr>
            </w:pPr>
            <w:r>
              <w:rPr>
                <w:spacing w:val="3"/>
                <w:sz w:val="24"/>
                <w:szCs w:val="24"/>
              </w:rPr>
              <w:t>活性碳</w:t>
            </w:r>
          </w:p>
        </w:tc>
        <w:tc>
          <w:tcPr>
            <w:tcW w:w="939" w:type="dxa"/>
            <w:vAlign w:val="top"/>
          </w:tcPr>
          <w:p w14:paraId="4306200E">
            <w:pPr>
              <w:pStyle w:val="6"/>
              <w:spacing w:before="46" w:line="224" w:lineRule="auto"/>
              <w:ind w:left="346" w:right="150" w:hanging="179"/>
              <w:rPr>
                <w:sz w:val="24"/>
                <w:szCs w:val="24"/>
              </w:rPr>
            </w:pPr>
            <w:r>
              <w:rPr>
                <w:spacing w:val="2"/>
                <w:sz w:val="24"/>
                <w:szCs w:val="24"/>
              </w:rPr>
              <w:t xml:space="preserve">500千 </w:t>
            </w:r>
            <w:r>
              <w:rPr>
                <w:sz w:val="24"/>
                <w:szCs w:val="24"/>
              </w:rPr>
              <w:t>克</w:t>
            </w:r>
          </w:p>
        </w:tc>
        <w:tc>
          <w:tcPr>
            <w:tcW w:w="1858" w:type="dxa"/>
            <w:vMerge w:val="continue"/>
            <w:tcBorders>
              <w:top w:val="nil"/>
              <w:bottom w:val="nil"/>
            </w:tcBorders>
            <w:vAlign w:val="top"/>
          </w:tcPr>
          <w:p w14:paraId="31450ED3">
            <w:pPr>
              <w:rPr>
                <w:rFonts w:ascii="Arial"/>
                <w:sz w:val="21"/>
              </w:rPr>
            </w:pPr>
          </w:p>
        </w:tc>
        <w:tc>
          <w:tcPr>
            <w:tcW w:w="1064" w:type="dxa"/>
            <w:vMerge w:val="restart"/>
            <w:tcBorders>
              <w:bottom w:val="nil"/>
            </w:tcBorders>
            <w:vAlign w:val="top"/>
          </w:tcPr>
          <w:p w14:paraId="2233EA24">
            <w:pPr>
              <w:spacing w:line="247" w:lineRule="auto"/>
              <w:rPr>
                <w:rFonts w:ascii="Arial"/>
                <w:sz w:val="21"/>
              </w:rPr>
            </w:pPr>
          </w:p>
          <w:p w14:paraId="032598AB">
            <w:pPr>
              <w:spacing w:line="247" w:lineRule="auto"/>
              <w:rPr>
                <w:rFonts w:ascii="Arial"/>
                <w:sz w:val="21"/>
              </w:rPr>
            </w:pPr>
          </w:p>
          <w:p w14:paraId="46D3AEA1">
            <w:pPr>
              <w:spacing w:line="247" w:lineRule="auto"/>
              <w:rPr>
                <w:rFonts w:ascii="Arial"/>
                <w:sz w:val="21"/>
              </w:rPr>
            </w:pPr>
          </w:p>
          <w:p w14:paraId="4880DB77">
            <w:pPr>
              <w:pStyle w:val="6"/>
              <w:spacing w:before="78" w:line="219" w:lineRule="auto"/>
              <w:ind w:left="289"/>
              <w:rPr>
                <w:sz w:val="24"/>
                <w:szCs w:val="24"/>
              </w:rPr>
            </w:pPr>
            <w:r>
              <w:rPr>
                <w:spacing w:val="6"/>
                <w:sz w:val="24"/>
                <w:szCs w:val="24"/>
              </w:rPr>
              <w:t>采购</w:t>
            </w:r>
          </w:p>
        </w:tc>
      </w:tr>
      <w:tr w14:paraId="729E0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083" w:type="dxa"/>
            <w:vMerge w:val="continue"/>
            <w:tcBorders>
              <w:top w:val="nil"/>
              <w:bottom w:val="nil"/>
            </w:tcBorders>
            <w:vAlign w:val="top"/>
          </w:tcPr>
          <w:p w14:paraId="38BA7AB7">
            <w:pPr>
              <w:rPr>
                <w:rFonts w:ascii="Arial"/>
                <w:sz w:val="21"/>
              </w:rPr>
            </w:pPr>
          </w:p>
        </w:tc>
        <w:tc>
          <w:tcPr>
            <w:tcW w:w="1258" w:type="dxa"/>
            <w:vMerge w:val="continue"/>
            <w:tcBorders>
              <w:top w:val="nil"/>
              <w:bottom w:val="nil"/>
            </w:tcBorders>
            <w:vAlign w:val="top"/>
          </w:tcPr>
          <w:p w14:paraId="2C11E135">
            <w:pPr>
              <w:rPr>
                <w:rFonts w:ascii="Arial"/>
                <w:sz w:val="21"/>
              </w:rPr>
            </w:pPr>
          </w:p>
        </w:tc>
        <w:tc>
          <w:tcPr>
            <w:tcW w:w="2387" w:type="dxa"/>
            <w:vAlign w:val="top"/>
          </w:tcPr>
          <w:p w14:paraId="03C843D1">
            <w:pPr>
              <w:pStyle w:val="6"/>
              <w:spacing w:before="136" w:line="219" w:lineRule="auto"/>
              <w:ind w:left="704"/>
              <w:rPr>
                <w:sz w:val="24"/>
                <w:szCs w:val="24"/>
              </w:rPr>
            </w:pPr>
            <w:r>
              <w:rPr>
                <w:spacing w:val="2"/>
                <w:sz w:val="24"/>
                <w:szCs w:val="24"/>
              </w:rPr>
              <w:t>吸油棉卷</w:t>
            </w:r>
          </w:p>
        </w:tc>
        <w:tc>
          <w:tcPr>
            <w:tcW w:w="939" w:type="dxa"/>
            <w:vAlign w:val="top"/>
          </w:tcPr>
          <w:p w14:paraId="41B536DD">
            <w:pPr>
              <w:pStyle w:val="6"/>
              <w:spacing w:before="144" w:line="226" w:lineRule="auto"/>
              <w:ind w:left="227"/>
              <w:rPr>
                <w:sz w:val="24"/>
                <w:szCs w:val="24"/>
              </w:rPr>
            </w:pPr>
            <w:r>
              <w:rPr>
                <w:spacing w:val="3"/>
                <w:sz w:val="24"/>
                <w:szCs w:val="24"/>
              </w:rPr>
              <w:t>50卷</w:t>
            </w:r>
          </w:p>
        </w:tc>
        <w:tc>
          <w:tcPr>
            <w:tcW w:w="1858" w:type="dxa"/>
            <w:vMerge w:val="continue"/>
            <w:tcBorders>
              <w:top w:val="nil"/>
              <w:bottom w:val="nil"/>
            </w:tcBorders>
            <w:vAlign w:val="top"/>
          </w:tcPr>
          <w:p w14:paraId="5D01CCA7">
            <w:pPr>
              <w:rPr>
                <w:rFonts w:ascii="Arial"/>
                <w:sz w:val="21"/>
              </w:rPr>
            </w:pPr>
          </w:p>
        </w:tc>
        <w:tc>
          <w:tcPr>
            <w:tcW w:w="1064" w:type="dxa"/>
            <w:vMerge w:val="continue"/>
            <w:tcBorders>
              <w:top w:val="nil"/>
              <w:bottom w:val="nil"/>
            </w:tcBorders>
            <w:vAlign w:val="top"/>
          </w:tcPr>
          <w:p w14:paraId="113FD97B">
            <w:pPr>
              <w:rPr>
                <w:rFonts w:ascii="Arial"/>
                <w:sz w:val="21"/>
              </w:rPr>
            </w:pPr>
          </w:p>
        </w:tc>
      </w:tr>
      <w:tr w14:paraId="1F407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83" w:type="dxa"/>
            <w:vMerge w:val="continue"/>
            <w:tcBorders>
              <w:top w:val="nil"/>
              <w:bottom w:val="nil"/>
            </w:tcBorders>
            <w:vAlign w:val="top"/>
          </w:tcPr>
          <w:p w14:paraId="05159060">
            <w:pPr>
              <w:rPr>
                <w:rFonts w:ascii="Arial"/>
                <w:sz w:val="21"/>
              </w:rPr>
            </w:pPr>
          </w:p>
        </w:tc>
        <w:tc>
          <w:tcPr>
            <w:tcW w:w="1258" w:type="dxa"/>
            <w:vMerge w:val="continue"/>
            <w:tcBorders>
              <w:top w:val="nil"/>
            </w:tcBorders>
            <w:vAlign w:val="top"/>
          </w:tcPr>
          <w:p w14:paraId="7846BE9C">
            <w:pPr>
              <w:rPr>
                <w:rFonts w:ascii="Arial"/>
                <w:sz w:val="21"/>
              </w:rPr>
            </w:pPr>
          </w:p>
        </w:tc>
        <w:tc>
          <w:tcPr>
            <w:tcW w:w="2387" w:type="dxa"/>
            <w:vAlign w:val="top"/>
          </w:tcPr>
          <w:p w14:paraId="5CED474A">
            <w:pPr>
              <w:pStyle w:val="6"/>
              <w:spacing w:before="248" w:line="220" w:lineRule="auto"/>
              <w:ind w:left="823"/>
              <w:rPr>
                <w:sz w:val="24"/>
                <w:szCs w:val="24"/>
              </w:rPr>
            </w:pPr>
            <w:r>
              <w:rPr>
                <w:spacing w:val="3"/>
                <w:sz w:val="24"/>
                <w:szCs w:val="24"/>
              </w:rPr>
              <w:t>吸油毡</w:t>
            </w:r>
          </w:p>
        </w:tc>
        <w:tc>
          <w:tcPr>
            <w:tcW w:w="939" w:type="dxa"/>
            <w:vAlign w:val="top"/>
          </w:tcPr>
          <w:p w14:paraId="47A1C7F0">
            <w:pPr>
              <w:pStyle w:val="6"/>
              <w:spacing w:before="90" w:line="238" w:lineRule="auto"/>
              <w:ind w:left="346" w:right="150" w:hanging="179"/>
              <w:rPr>
                <w:sz w:val="24"/>
                <w:szCs w:val="24"/>
              </w:rPr>
            </w:pPr>
            <w:r>
              <w:rPr>
                <w:spacing w:val="2"/>
                <w:sz w:val="24"/>
                <w:szCs w:val="24"/>
              </w:rPr>
              <w:t xml:space="preserve">300千 </w:t>
            </w:r>
            <w:r>
              <w:rPr>
                <w:sz w:val="24"/>
                <w:szCs w:val="24"/>
              </w:rPr>
              <w:t>克</w:t>
            </w:r>
          </w:p>
        </w:tc>
        <w:tc>
          <w:tcPr>
            <w:tcW w:w="1858" w:type="dxa"/>
            <w:vMerge w:val="continue"/>
            <w:tcBorders>
              <w:top w:val="nil"/>
              <w:bottom w:val="nil"/>
            </w:tcBorders>
            <w:vAlign w:val="top"/>
          </w:tcPr>
          <w:p w14:paraId="5E2AEC67">
            <w:pPr>
              <w:rPr>
                <w:rFonts w:ascii="Arial"/>
                <w:sz w:val="21"/>
              </w:rPr>
            </w:pPr>
          </w:p>
        </w:tc>
        <w:tc>
          <w:tcPr>
            <w:tcW w:w="1064" w:type="dxa"/>
            <w:vMerge w:val="continue"/>
            <w:tcBorders>
              <w:top w:val="nil"/>
            </w:tcBorders>
            <w:vAlign w:val="top"/>
          </w:tcPr>
          <w:p w14:paraId="3E939944">
            <w:pPr>
              <w:rPr>
                <w:rFonts w:ascii="Arial"/>
                <w:sz w:val="21"/>
              </w:rPr>
            </w:pPr>
          </w:p>
        </w:tc>
      </w:tr>
      <w:tr w14:paraId="7BEA0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83" w:type="dxa"/>
            <w:vMerge w:val="continue"/>
            <w:tcBorders>
              <w:top w:val="nil"/>
              <w:bottom w:val="nil"/>
            </w:tcBorders>
            <w:vAlign w:val="top"/>
          </w:tcPr>
          <w:p w14:paraId="763F352A">
            <w:pPr>
              <w:rPr>
                <w:rFonts w:ascii="Arial"/>
                <w:sz w:val="21"/>
              </w:rPr>
            </w:pPr>
          </w:p>
        </w:tc>
        <w:tc>
          <w:tcPr>
            <w:tcW w:w="1258" w:type="dxa"/>
            <w:vMerge w:val="restart"/>
            <w:tcBorders>
              <w:bottom w:val="nil"/>
            </w:tcBorders>
            <w:vAlign w:val="top"/>
          </w:tcPr>
          <w:p w14:paraId="73092F7C">
            <w:pPr>
              <w:pStyle w:val="6"/>
              <w:spacing w:before="277" w:line="219" w:lineRule="auto"/>
              <w:ind w:left="261"/>
              <w:rPr>
                <w:sz w:val="24"/>
                <w:szCs w:val="24"/>
              </w:rPr>
            </w:pPr>
            <w:r>
              <w:rPr>
                <w:color w:val="405050"/>
                <w:spacing w:val="4"/>
                <w:sz w:val="24"/>
                <w:szCs w:val="24"/>
              </w:rPr>
              <w:t>中和剂</w:t>
            </w:r>
          </w:p>
        </w:tc>
        <w:tc>
          <w:tcPr>
            <w:tcW w:w="2387" w:type="dxa"/>
            <w:vAlign w:val="top"/>
          </w:tcPr>
          <w:p w14:paraId="4E1DA51C">
            <w:pPr>
              <w:pStyle w:val="6"/>
              <w:spacing w:before="68" w:line="216" w:lineRule="auto"/>
              <w:ind w:left="523"/>
              <w:rPr>
                <w:sz w:val="24"/>
                <w:szCs w:val="24"/>
              </w:rPr>
            </w:pPr>
            <w:r>
              <w:rPr>
                <w:spacing w:val="1"/>
                <w:sz w:val="24"/>
                <w:szCs w:val="24"/>
              </w:rPr>
              <w:t>纯碱-消石灰</w:t>
            </w:r>
          </w:p>
        </w:tc>
        <w:tc>
          <w:tcPr>
            <w:tcW w:w="939" w:type="dxa"/>
            <w:vAlign w:val="top"/>
          </w:tcPr>
          <w:p w14:paraId="10348673">
            <w:pPr>
              <w:pStyle w:val="6"/>
              <w:spacing w:before="68" w:line="216" w:lineRule="auto"/>
              <w:ind w:left="227"/>
              <w:rPr>
                <w:sz w:val="24"/>
                <w:szCs w:val="24"/>
              </w:rPr>
            </w:pPr>
            <w:r>
              <w:rPr>
                <w:spacing w:val="-3"/>
                <w:sz w:val="24"/>
                <w:szCs w:val="24"/>
              </w:rPr>
              <w:t>若干</w:t>
            </w:r>
          </w:p>
        </w:tc>
        <w:tc>
          <w:tcPr>
            <w:tcW w:w="1858" w:type="dxa"/>
            <w:vMerge w:val="continue"/>
            <w:tcBorders>
              <w:top w:val="nil"/>
              <w:bottom w:val="nil"/>
            </w:tcBorders>
            <w:vAlign w:val="top"/>
          </w:tcPr>
          <w:p w14:paraId="68D9C1F5">
            <w:pPr>
              <w:rPr>
                <w:rFonts w:ascii="Arial"/>
                <w:sz w:val="21"/>
              </w:rPr>
            </w:pPr>
          </w:p>
        </w:tc>
        <w:tc>
          <w:tcPr>
            <w:tcW w:w="1064" w:type="dxa"/>
            <w:vMerge w:val="restart"/>
            <w:tcBorders>
              <w:bottom w:val="nil"/>
            </w:tcBorders>
            <w:vAlign w:val="top"/>
          </w:tcPr>
          <w:p w14:paraId="3899458E">
            <w:pPr>
              <w:pStyle w:val="6"/>
              <w:spacing w:before="277" w:line="219" w:lineRule="auto"/>
              <w:ind w:left="289"/>
              <w:rPr>
                <w:sz w:val="24"/>
                <w:szCs w:val="24"/>
              </w:rPr>
            </w:pPr>
            <w:r>
              <w:rPr>
                <w:spacing w:val="6"/>
                <w:sz w:val="24"/>
                <w:szCs w:val="24"/>
              </w:rPr>
              <w:t>采购</w:t>
            </w:r>
          </w:p>
        </w:tc>
      </w:tr>
      <w:tr w14:paraId="68DBF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083" w:type="dxa"/>
            <w:vMerge w:val="continue"/>
            <w:tcBorders>
              <w:top w:val="nil"/>
              <w:bottom w:val="nil"/>
            </w:tcBorders>
            <w:vAlign w:val="top"/>
          </w:tcPr>
          <w:p w14:paraId="1E0406B4">
            <w:pPr>
              <w:rPr>
                <w:rFonts w:ascii="Arial"/>
                <w:sz w:val="21"/>
              </w:rPr>
            </w:pPr>
          </w:p>
        </w:tc>
        <w:tc>
          <w:tcPr>
            <w:tcW w:w="1258" w:type="dxa"/>
            <w:vMerge w:val="continue"/>
            <w:tcBorders>
              <w:top w:val="nil"/>
            </w:tcBorders>
            <w:vAlign w:val="top"/>
          </w:tcPr>
          <w:p w14:paraId="79156323">
            <w:pPr>
              <w:rPr>
                <w:rFonts w:ascii="Arial"/>
                <w:sz w:val="21"/>
              </w:rPr>
            </w:pPr>
          </w:p>
        </w:tc>
        <w:tc>
          <w:tcPr>
            <w:tcW w:w="2387" w:type="dxa"/>
            <w:vAlign w:val="top"/>
          </w:tcPr>
          <w:p w14:paraId="6BBC5880">
            <w:pPr>
              <w:pStyle w:val="6"/>
              <w:spacing w:before="91" w:line="221" w:lineRule="auto"/>
              <w:ind w:left="823"/>
              <w:rPr>
                <w:sz w:val="24"/>
                <w:szCs w:val="24"/>
              </w:rPr>
            </w:pPr>
            <w:r>
              <w:rPr>
                <w:spacing w:val="4"/>
                <w:sz w:val="24"/>
                <w:szCs w:val="24"/>
              </w:rPr>
              <w:t>氯化氢</w:t>
            </w:r>
          </w:p>
        </w:tc>
        <w:tc>
          <w:tcPr>
            <w:tcW w:w="939" w:type="dxa"/>
            <w:vAlign w:val="top"/>
          </w:tcPr>
          <w:p w14:paraId="37D62EC2">
            <w:pPr>
              <w:pStyle w:val="6"/>
              <w:spacing w:before="88" w:line="219" w:lineRule="auto"/>
              <w:ind w:left="227"/>
              <w:rPr>
                <w:sz w:val="24"/>
                <w:szCs w:val="24"/>
              </w:rPr>
            </w:pPr>
            <w:r>
              <w:rPr>
                <w:spacing w:val="-3"/>
                <w:sz w:val="24"/>
                <w:szCs w:val="24"/>
              </w:rPr>
              <w:t>若干</w:t>
            </w:r>
          </w:p>
        </w:tc>
        <w:tc>
          <w:tcPr>
            <w:tcW w:w="1858" w:type="dxa"/>
            <w:vMerge w:val="continue"/>
            <w:tcBorders>
              <w:top w:val="nil"/>
              <w:bottom w:val="nil"/>
            </w:tcBorders>
            <w:vAlign w:val="top"/>
          </w:tcPr>
          <w:p w14:paraId="659ED4F1">
            <w:pPr>
              <w:rPr>
                <w:rFonts w:ascii="Arial"/>
                <w:sz w:val="21"/>
              </w:rPr>
            </w:pPr>
          </w:p>
        </w:tc>
        <w:tc>
          <w:tcPr>
            <w:tcW w:w="1064" w:type="dxa"/>
            <w:vMerge w:val="continue"/>
            <w:tcBorders>
              <w:top w:val="nil"/>
            </w:tcBorders>
            <w:vAlign w:val="top"/>
          </w:tcPr>
          <w:p w14:paraId="77E92DE2">
            <w:pPr>
              <w:rPr>
                <w:rFonts w:ascii="Arial"/>
                <w:sz w:val="21"/>
              </w:rPr>
            </w:pPr>
          </w:p>
        </w:tc>
      </w:tr>
      <w:tr w14:paraId="7E291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083" w:type="dxa"/>
            <w:vMerge w:val="continue"/>
            <w:tcBorders>
              <w:top w:val="nil"/>
            </w:tcBorders>
            <w:vAlign w:val="top"/>
          </w:tcPr>
          <w:p w14:paraId="7707D7DA">
            <w:pPr>
              <w:rPr>
                <w:rFonts w:ascii="Arial"/>
                <w:sz w:val="21"/>
              </w:rPr>
            </w:pPr>
          </w:p>
        </w:tc>
        <w:tc>
          <w:tcPr>
            <w:tcW w:w="1258" w:type="dxa"/>
            <w:vAlign w:val="top"/>
          </w:tcPr>
          <w:p w14:paraId="29036CEA">
            <w:pPr>
              <w:pStyle w:val="6"/>
              <w:spacing w:before="78" w:line="219" w:lineRule="auto"/>
              <w:ind w:left="261"/>
              <w:rPr>
                <w:sz w:val="24"/>
                <w:szCs w:val="24"/>
              </w:rPr>
            </w:pPr>
            <w:r>
              <w:rPr>
                <w:spacing w:val="4"/>
                <w:sz w:val="24"/>
                <w:szCs w:val="24"/>
              </w:rPr>
              <w:t>絮凝剂</w:t>
            </w:r>
          </w:p>
        </w:tc>
        <w:tc>
          <w:tcPr>
            <w:tcW w:w="2387" w:type="dxa"/>
            <w:vAlign w:val="top"/>
          </w:tcPr>
          <w:p w14:paraId="4B2D7A95">
            <w:pPr>
              <w:pStyle w:val="6"/>
              <w:spacing w:before="80" w:line="220" w:lineRule="auto"/>
              <w:ind w:left="823"/>
              <w:rPr>
                <w:sz w:val="24"/>
                <w:szCs w:val="24"/>
              </w:rPr>
            </w:pPr>
            <w:r>
              <w:rPr>
                <w:spacing w:val="4"/>
                <w:sz w:val="24"/>
                <w:szCs w:val="24"/>
              </w:rPr>
              <w:t>碳酸钠</w:t>
            </w:r>
          </w:p>
        </w:tc>
        <w:tc>
          <w:tcPr>
            <w:tcW w:w="939" w:type="dxa"/>
            <w:vAlign w:val="top"/>
          </w:tcPr>
          <w:p w14:paraId="4A73324D">
            <w:pPr>
              <w:pStyle w:val="6"/>
              <w:spacing w:before="78" w:line="219" w:lineRule="auto"/>
              <w:ind w:left="227"/>
              <w:rPr>
                <w:sz w:val="24"/>
                <w:szCs w:val="24"/>
              </w:rPr>
            </w:pPr>
            <w:r>
              <w:rPr>
                <w:spacing w:val="-3"/>
                <w:sz w:val="24"/>
                <w:szCs w:val="24"/>
              </w:rPr>
              <w:t>若干</w:t>
            </w:r>
          </w:p>
        </w:tc>
        <w:tc>
          <w:tcPr>
            <w:tcW w:w="1858" w:type="dxa"/>
            <w:vMerge w:val="continue"/>
            <w:tcBorders>
              <w:top w:val="nil"/>
            </w:tcBorders>
            <w:vAlign w:val="top"/>
          </w:tcPr>
          <w:p w14:paraId="49DA6CEF">
            <w:pPr>
              <w:rPr>
                <w:rFonts w:ascii="Arial"/>
                <w:sz w:val="21"/>
              </w:rPr>
            </w:pPr>
          </w:p>
        </w:tc>
        <w:tc>
          <w:tcPr>
            <w:tcW w:w="1064" w:type="dxa"/>
            <w:vAlign w:val="top"/>
          </w:tcPr>
          <w:p w14:paraId="25248E20">
            <w:pPr>
              <w:pStyle w:val="6"/>
              <w:spacing w:before="78" w:line="219" w:lineRule="auto"/>
              <w:ind w:left="289"/>
              <w:rPr>
                <w:sz w:val="24"/>
                <w:szCs w:val="24"/>
              </w:rPr>
            </w:pPr>
            <w:r>
              <w:rPr>
                <w:spacing w:val="6"/>
                <w:sz w:val="24"/>
                <w:szCs w:val="24"/>
              </w:rPr>
              <w:t>采购</w:t>
            </w:r>
          </w:p>
        </w:tc>
      </w:tr>
    </w:tbl>
    <w:p w14:paraId="34A788B6">
      <w:pPr>
        <w:spacing w:line="57" w:lineRule="exact"/>
        <w:rPr>
          <w:rFonts w:ascii="Arial"/>
          <w:sz w:val="5"/>
        </w:rPr>
      </w:pPr>
    </w:p>
    <w:p w14:paraId="5255C477">
      <w:pPr>
        <w:spacing w:line="57" w:lineRule="exact"/>
        <w:rPr>
          <w:rFonts w:ascii="Arial" w:hAnsi="Arial" w:eastAsia="Arial" w:cs="Arial"/>
          <w:sz w:val="5"/>
          <w:szCs w:val="5"/>
        </w:rPr>
        <w:sectPr>
          <w:footerReference r:id="rId47" w:type="default"/>
          <w:pgSz w:w="11910" w:h="16850"/>
          <w:pgMar w:top="1432" w:right="1695" w:bottom="1507" w:left="1614" w:header="0" w:footer="1299" w:gutter="0"/>
          <w:cols w:space="720" w:num="1"/>
        </w:sectPr>
      </w:pPr>
    </w:p>
    <w:p w14:paraId="312E1295">
      <w:pPr>
        <w:spacing w:before="176" w:line="219" w:lineRule="auto"/>
        <w:ind w:left="145"/>
        <w:rPr>
          <w:rFonts w:ascii="宋体" w:hAnsi="宋体" w:eastAsia="宋体" w:cs="宋体"/>
          <w:sz w:val="31"/>
          <w:szCs w:val="31"/>
        </w:rPr>
      </w:pPr>
      <w:r>
        <w:rPr>
          <w:rFonts w:ascii="Times New Roman" w:hAnsi="Times New Roman" w:eastAsia="Times New Roman" w:cs="Times New Roman"/>
          <w:b/>
          <w:bCs/>
          <w:spacing w:val="-10"/>
          <w:sz w:val="31"/>
          <w:szCs w:val="31"/>
        </w:rPr>
        <w:t>3</w:t>
      </w:r>
      <w:r>
        <w:rPr>
          <w:rFonts w:ascii="宋体" w:hAnsi="宋体" w:eastAsia="宋体" w:cs="宋体"/>
          <w:b/>
          <w:bCs/>
          <w:spacing w:val="-10"/>
          <w:sz w:val="31"/>
          <w:szCs w:val="31"/>
        </w:rPr>
        <w:t>、突发环境事件调查与分析</w:t>
      </w:r>
    </w:p>
    <w:p w14:paraId="10F8C515">
      <w:pPr>
        <w:spacing w:before="291" w:line="219" w:lineRule="auto"/>
        <w:ind w:left="149"/>
        <w:rPr>
          <w:rFonts w:ascii="宋体" w:hAnsi="宋体" w:eastAsia="宋体" w:cs="宋体"/>
          <w:sz w:val="28"/>
          <w:szCs w:val="28"/>
        </w:rPr>
      </w:pPr>
      <w:r>
        <w:rPr>
          <w:rFonts w:ascii="宋体" w:hAnsi="宋体" w:eastAsia="宋体" w:cs="宋体"/>
          <w:b/>
          <w:bCs/>
          <w:spacing w:val="5"/>
          <w:sz w:val="28"/>
          <w:szCs w:val="28"/>
        </w:rPr>
        <w:t>3.1突发环境事件情景分析</w:t>
      </w:r>
    </w:p>
    <w:p w14:paraId="330F4BC9">
      <w:pPr>
        <w:spacing w:before="238" w:line="219" w:lineRule="auto"/>
        <w:ind w:left="635"/>
        <w:rPr>
          <w:rFonts w:ascii="宋体" w:hAnsi="宋体" w:eastAsia="宋体" w:cs="宋体"/>
          <w:sz w:val="24"/>
          <w:szCs w:val="24"/>
        </w:rPr>
      </w:pPr>
      <w:r>
        <w:rPr>
          <w:rFonts w:ascii="宋体" w:hAnsi="宋体" w:eastAsia="宋体" w:cs="宋体"/>
          <w:spacing w:val="1"/>
          <w:sz w:val="24"/>
          <w:szCs w:val="24"/>
        </w:rPr>
        <w:t>近年来国内发生运输车辆事故及化肥污染事件</w:t>
      </w:r>
      <w:r>
        <w:rPr>
          <w:rFonts w:ascii="宋体" w:hAnsi="宋体" w:eastAsia="宋体" w:cs="宋体"/>
          <w:sz w:val="24"/>
          <w:szCs w:val="24"/>
        </w:rPr>
        <w:t>的调查结果见表3-1。</w:t>
      </w:r>
    </w:p>
    <w:p w14:paraId="2B1B52DD">
      <w:pPr>
        <w:spacing w:before="164" w:line="220" w:lineRule="auto"/>
        <w:ind w:left="3428"/>
        <w:rPr>
          <w:rFonts w:ascii="宋体" w:hAnsi="宋体" w:eastAsia="宋体" w:cs="宋体"/>
          <w:sz w:val="26"/>
          <w:szCs w:val="26"/>
        </w:rPr>
      </w:pPr>
      <w:r>
        <w:rPr>
          <w:rFonts w:ascii="宋体" w:hAnsi="宋体" w:eastAsia="宋体" w:cs="宋体"/>
          <w:b/>
          <w:bCs/>
          <w:spacing w:val="-14"/>
          <w:sz w:val="26"/>
          <w:szCs w:val="26"/>
        </w:rPr>
        <w:t>表3-</w:t>
      </w:r>
      <w:r>
        <w:rPr>
          <w:rFonts w:ascii="宋体" w:hAnsi="宋体" w:eastAsia="宋体" w:cs="宋体"/>
          <w:spacing w:val="-14"/>
          <w:sz w:val="26"/>
          <w:szCs w:val="26"/>
        </w:rPr>
        <w:t>1</w:t>
      </w:r>
      <w:r>
        <w:rPr>
          <w:rFonts w:ascii="宋体" w:hAnsi="宋体" w:eastAsia="宋体" w:cs="宋体"/>
          <w:spacing w:val="112"/>
          <w:sz w:val="26"/>
          <w:szCs w:val="26"/>
        </w:rPr>
        <w:t xml:space="preserve"> </w:t>
      </w:r>
      <w:r>
        <w:rPr>
          <w:rFonts w:ascii="宋体" w:hAnsi="宋体" w:eastAsia="宋体" w:cs="宋体"/>
          <w:b/>
          <w:bCs/>
          <w:spacing w:val="-14"/>
          <w:sz w:val="26"/>
          <w:szCs w:val="26"/>
        </w:rPr>
        <w:t>事故调查结果</w:t>
      </w:r>
    </w:p>
    <w:p w14:paraId="4569CE67">
      <w:pPr>
        <w:spacing w:line="57" w:lineRule="exact"/>
      </w:pPr>
    </w:p>
    <w:tbl>
      <w:tblPr>
        <w:tblStyle w:val="5"/>
        <w:tblW w:w="86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1329"/>
        <w:gridCol w:w="2407"/>
        <w:gridCol w:w="1568"/>
        <w:gridCol w:w="1713"/>
      </w:tblGrid>
      <w:tr w14:paraId="20DEF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63" w:type="dxa"/>
            <w:vAlign w:val="top"/>
          </w:tcPr>
          <w:p w14:paraId="481BFDD7">
            <w:pPr>
              <w:pStyle w:val="6"/>
              <w:spacing w:before="42" w:line="201" w:lineRule="auto"/>
              <w:ind w:left="348"/>
              <w:rPr>
                <w:sz w:val="24"/>
                <w:szCs w:val="24"/>
              </w:rPr>
            </w:pPr>
            <w:r>
              <w:rPr>
                <w:b/>
                <w:bCs/>
                <w:color w:val="606060"/>
                <w:spacing w:val="-5"/>
                <w:sz w:val="24"/>
                <w:szCs w:val="24"/>
              </w:rPr>
              <w:t>事故单位</w:t>
            </w:r>
          </w:p>
        </w:tc>
        <w:tc>
          <w:tcPr>
            <w:tcW w:w="1329" w:type="dxa"/>
            <w:vAlign w:val="top"/>
          </w:tcPr>
          <w:p w14:paraId="6A88BE3B">
            <w:pPr>
              <w:pStyle w:val="6"/>
              <w:spacing w:before="42" w:line="201" w:lineRule="auto"/>
              <w:ind w:left="175"/>
              <w:rPr>
                <w:sz w:val="24"/>
                <w:szCs w:val="24"/>
              </w:rPr>
            </w:pPr>
            <w:r>
              <w:rPr>
                <w:b/>
                <w:bCs/>
                <w:color w:val="505050"/>
                <w:spacing w:val="1"/>
                <w:sz w:val="24"/>
                <w:szCs w:val="24"/>
              </w:rPr>
              <w:t>事故时间</w:t>
            </w:r>
          </w:p>
        </w:tc>
        <w:tc>
          <w:tcPr>
            <w:tcW w:w="2407" w:type="dxa"/>
            <w:vAlign w:val="top"/>
          </w:tcPr>
          <w:p w14:paraId="3A8AF8C3">
            <w:pPr>
              <w:pStyle w:val="6"/>
              <w:spacing w:before="42" w:line="201" w:lineRule="auto"/>
              <w:ind w:left="716"/>
              <w:rPr>
                <w:sz w:val="24"/>
                <w:szCs w:val="24"/>
              </w:rPr>
            </w:pPr>
            <w:r>
              <w:rPr>
                <w:b/>
                <w:bCs/>
                <w:color w:val="505050"/>
                <w:spacing w:val="1"/>
                <w:sz w:val="24"/>
                <w:szCs w:val="24"/>
              </w:rPr>
              <w:t>事故原因</w:t>
            </w:r>
          </w:p>
        </w:tc>
        <w:tc>
          <w:tcPr>
            <w:tcW w:w="1568" w:type="dxa"/>
            <w:vAlign w:val="top"/>
          </w:tcPr>
          <w:p w14:paraId="17BAE5BA">
            <w:pPr>
              <w:pStyle w:val="6"/>
              <w:spacing w:before="42" w:line="201" w:lineRule="auto"/>
              <w:ind w:left="179"/>
              <w:rPr>
                <w:sz w:val="24"/>
                <w:szCs w:val="24"/>
              </w:rPr>
            </w:pPr>
            <w:r>
              <w:rPr>
                <w:b/>
                <w:bCs/>
                <w:color w:val="506060"/>
                <w:spacing w:val="-4"/>
                <w:sz w:val="24"/>
                <w:szCs w:val="24"/>
              </w:rPr>
              <w:t>造成的后果</w:t>
            </w:r>
          </w:p>
        </w:tc>
        <w:tc>
          <w:tcPr>
            <w:tcW w:w="1713" w:type="dxa"/>
            <w:vAlign w:val="top"/>
          </w:tcPr>
          <w:p w14:paraId="388D39D8">
            <w:pPr>
              <w:pStyle w:val="6"/>
              <w:spacing w:before="42" w:line="201" w:lineRule="auto"/>
              <w:ind w:left="371"/>
              <w:rPr>
                <w:sz w:val="24"/>
                <w:szCs w:val="24"/>
              </w:rPr>
            </w:pPr>
            <w:r>
              <w:rPr>
                <w:b/>
                <w:bCs/>
                <w:spacing w:val="-5"/>
                <w:sz w:val="24"/>
                <w:szCs w:val="24"/>
              </w:rPr>
              <w:t>处</w:t>
            </w:r>
            <w:r>
              <w:rPr>
                <w:b/>
                <w:bCs/>
                <w:color w:val="405040"/>
                <w:spacing w:val="-5"/>
                <w:sz w:val="24"/>
                <w:szCs w:val="24"/>
              </w:rPr>
              <w:t>置</w:t>
            </w:r>
            <w:r>
              <w:rPr>
                <w:b/>
                <w:bCs/>
                <w:color w:val="404050"/>
                <w:spacing w:val="-5"/>
                <w:sz w:val="24"/>
                <w:szCs w:val="24"/>
              </w:rPr>
              <w:t>措施</w:t>
            </w:r>
          </w:p>
        </w:tc>
      </w:tr>
      <w:tr w14:paraId="41BAA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663" w:type="dxa"/>
            <w:vAlign w:val="top"/>
          </w:tcPr>
          <w:p w14:paraId="59582F27">
            <w:pPr>
              <w:pStyle w:val="6"/>
              <w:spacing w:before="49" w:line="219" w:lineRule="auto"/>
              <w:ind w:left="105"/>
              <w:rPr>
                <w:sz w:val="24"/>
                <w:szCs w:val="24"/>
              </w:rPr>
            </w:pPr>
            <w:r>
              <w:rPr>
                <w:spacing w:val="2"/>
                <w:sz w:val="24"/>
                <w:szCs w:val="24"/>
              </w:rPr>
              <w:t>常州</w:t>
            </w:r>
            <w:r>
              <w:rPr>
                <w:color w:val="305040"/>
                <w:spacing w:val="2"/>
                <w:sz w:val="24"/>
                <w:szCs w:val="24"/>
              </w:rPr>
              <w:t>巨神科技</w:t>
            </w:r>
          </w:p>
          <w:p w14:paraId="2E7F2B8E">
            <w:pPr>
              <w:pStyle w:val="6"/>
              <w:spacing w:before="25" w:line="190" w:lineRule="auto"/>
              <w:ind w:left="105"/>
              <w:rPr>
                <w:sz w:val="24"/>
                <w:szCs w:val="24"/>
              </w:rPr>
            </w:pPr>
            <w:r>
              <w:rPr>
                <w:color w:val="405050"/>
                <w:spacing w:val="5"/>
                <w:sz w:val="24"/>
                <w:szCs w:val="24"/>
              </w:rPr>
              <w:t>材料有限公司</w:t>
            </w:r>
          </w:p>
        </w:tc>
        <w:tc>
          <w:tcPr>
            <w:tcW w:w="1329" w:type="dxa"/>
            <w:vAlign w:val="top"/>
          </w:tcPr>
          <w:p w14:paraId="723AD420">
            <w:pPr>
              <w:pStyle w:val="6"/>
              <w:spacing w:before="214" w:line="239" w:lineRule="auto"/>
              <w:ind w:left="171"/>
              <w:rPr>
                <w:sz w:val="24"/>
                <w:szCs w:val="24"/>
              </w:rPr>
            </w:pPr>
            <w:r>
              <w:rPr>
                <w:spacing w:val="-2"/>
                <w:sz w:val="24"/>
                <w:szCs w:val="24"/>
              </w:rPr>
              <w:t>2014.8.5</w:t>
            </w:r>
          </w:p>
        </w:tc>
        <w:tc>
          <w:tcPr>
            <w:tcW w:w="2407" w:type="dxa"/>
            <w:vAlign w:val="top"/>
          </w:tcPr>
          <w:p w14:paraId="636FAB11">
            <w:pPr>
              <w:pStyle w:val="6"/>
              <w:spacing w:before="31" w:line="219" w:lineRule="auto"/>
              <w:ind w:left="113"/>
              <w:rPr>
                <w:sz w:val="24"/>
                <w:szCs w:val="24"/>
              </w:rPr>
            </w:pPr>
            <w:r>
              <w:rPr>
                <w:color w:val="407060"/>
                <w:spacing w:val="1"/>
                <w:sz w:val="24"/>
                <w:szCs w:val="24"/>
              </w:rPr>
              <w:t>液氯运输车辆发生侧</w:t>
            </w:r>
          </w:p>
          <w:p w14:paraId="19692AFA">
            <w:pPr>
              <w:pStyle w:val="6"/>
              <w:spacing w:before="38" w:line="194" w:lineRule="auto"/>
              <w:ind w:left="1073"/>
              <w:rPr>
                <w:sz w:val="24"/>
                <w:szCs w:val="24"/>
              </w:rPr>
            </w:pPr>
            <w:r>
              <w:rPr>
                <w:sz w:val="24"/>
                <w:szCs w:val="24"/>
              </w:rPr>
              <w:t>翻</w:t>
            </w:r>
          </w:p>
        </w:tc>
        <w:tc>
          <w:tcPr>
            <w:tcW w:w="1568" w:type="dxa"/>
            <w:vAlign w:val="top"/>
          </w:tcPr>
          <w:p w14:paraId="0E5F7D15">
            <w:pPr>
              <w:pStyle w:val="6"/>
              <w:spacing w:before="31" w:line="219" w:lineRule="auto"/>
              <w:ind w:left="176"/>
              <w:rPr>
                <w:sz w:val="24"/>
                <w:szCs w:val="24"/>
              </w:rPr>
            </w:pPr>
            <w:r>
              <w:rPr>
                <w:color w:val="306060"/>
                <w:spacing w:val="2"/>
                <w:sz w:val="24"/>
                <w:szCs w:val="24"/>
              </w:rPr>
              <w:t>无</w:t>
            </w:r>
            <w:r>
              <w:rPr>
                <w:color w:val="305040"/>
                <w:spacing w:val="2"/>
                <w:sz w:val="24"/>
                <w:szCs w:val="24"/>
              </w:rPr>
              <w:t>人员伤亡</w:t>
            </w:r>
          </w:p>
          <w:p w14:paraId="07A023D8">
            <w:pPr>
              <w:pStyle w:val="6"/>
              <w:spacing w:before="36" w:line="196" w:lineRule="auto"/>
              <w:ind w:left="176"/>
              <w:rPr>
                <w:sz w:val="24"/>
                <w:szCs w:val="24"/>
              </w:rPr>
            </w:pPr>
            <w:r>
              <w:rPr>
                <w:spacing w:val="-2"/>
                <w:sz w:val="24"/>
                <w:szCs w:val="24"/>
              </w:rPr>
              <w:t>及环境污染</w:t>
            </w:r>
          </w:p>
        </w:tc>
        <w:tc>
          <w:tcPr>
            <w:tcW w:w="1713" w:type="dxa"/>
            <w:vAlign w:val="top"/>
          </w:tcPr>
          <w:p w14:paraId="742E9B2C">
            <w:pPr>
              <w:pStyle w:val="6"/>
              <w:spacing w:before="42" w:line="221" w:lineRule="auto"/>
              <w:ind w:left="128"/>
              <w:rPr>
                <w:sz w:val="24"/>
                <w:szCs w:val="24"/>
              </w:rPr>
            </w:pPr>
            <w:r>
              <w:rPr>
                <w:color w:val="306040"/>
                <w:spacing w:val="-24"/>
                <w:w w:val="97"/>
                <w:sz w:val="24"/>
                <w:szCs w:val="24"/>
              </w:rPr>
              <w:t>封</w:t>
            </w:r>
            <w:r>
              <w:rPr>
                <w:color w:val="306040"/>
                <w:spacing w:val="-21"/>
                <w:sz w:val="24"/>
                <w:szCs w:val="24"/>
              </w:rPr>
              <w:t xml:space="preserve"> </w:t>
            </w:r>
            <w:r>
              <w:rPr>
                <w:color w:val="306040"/>
                <w:spacing w:val="-24"/>
                <w:w w:val="97"/>
                <w:sz w:val="24"/>
                <w:szCs w:val="24"/>
              </w:rPr>
              <w:t>堵</w:t>
            </w:r>
            <w:r>
              <w:rPr>
                <w:color w:val="306040"/>
                <w:spacing w:val="-39"/>
                <w:sz w:val="24"/>
                <w:szCs w:val="24"/>
              </w:rPr>
              <w:t xml:space="preserve"> </w:t>
            </w:r>
            <w:r>
              <w:rPr>
                <w:color w:val="306040"/>
                <w:spacing w:val="-24"/>
                <w:w w:val="97"/>
                <w:sz w:val="24"/>
                <w:szCs w:val="24"/>
              </w:rPr>
              <w:t>、</w:t>
            </w:r>
            <w:r>
              <w:rPr>
                <w:color w:val="407060"/>
                <w:spacing w:val="-24"/>
                <w:w w:val="97"/>
                <w:sz w:val="24"/>
                <w:szCs w:val="24"/>
              </w:rPr>
              <w:t>洗消处</w:t>
            </w:r>
          </w:p>
          <w:p w14:paraId="3A8F7D11">
            <w:pPr>
              <w:pStyle w:val="6"/>
              <w:spacing w:before="34" w:line="187" w:lineRule="auto"/>
              <w:ind w:left="728"/>
              <w:rPr>
                <w:sz w:val="24"/>
                <w:szCs w:val="24"/>
              </w:rPr>
            </w:pPr>
            <w:r>
              <w:rPr>
                <w:sz w:val="24"/>
                <w:szCs w:val="24"/>
              </w:rPr>
              <w:t>理</w:t>
            </w:r>
          </w:p>
        </w:tc>
      </w:tr>
      <w:tr w14:paraId="3480A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663" w:type="dxa"/>
            <w:vAlign w:val="top"/>
          </w:tcPr>
          <w:p w14:paraId="41BE586B">
            <w:pPr>
              <w:pStyle w:val="6"/>
              <w:spacing w:before="194" w:line="219" w:lineRule="auto"/>
              <w:ind w:left="345"/>
              <w:rPr>
                <w:sz w:val="24"/>
                <w:szCs w:val="24"/>
              </w:rPr>
            </w:pPr>
            <w:r>
              <w:rPr>
                <w:spacing w:val="-2"/>
                <w:sz w:val="24"/>
                <w:szCs w:val="24"/>
              </w:rPr>
              <w:t>平榆高速</w:t>
            </w:r>
          </w:p>
        </w:tc>
        <w:tc>
          <w:tcPr>
            <w:tcW w:w="1329" w:type="dxa"/>
            <w:vAlign w:val="top"/>
          </w:tcPr>
          <w:p w14:paraId="3B292497">
            <w:pPr>
              <w:pStyle w:val="6"/>
              <w:spacing w:before="217" w:line="239" w:lineRule="auto"/>
              <w:ind w:left="171"/>
              <w:rPr>
                <w:sz w:val="24"/>
                <w:szCs w:val="24"/>
              </w:rPr>
            </w:pPr>
            <w:r>
              <w:rPr>
                <w:spacing w:val="-2"/>
                <w:sz w:val="24"/>
                <w:szCs w:val="24"/>
              </w:rPr>
              <w:t>2017.6.5</w:t>
            </w:r>
          </w:p>
        </w:tc>
        <w:tc>
          <w:tcPr>
            <w:tcW w:w="2407" w:type="dxa"/>
            <w:vAlign w:val="top"/>
          </w:tcPr>
          <w:p w14:paraId="3796D7CD">
            <w:pPr>
              <w:pStyle w:val="6"/>
              <w:spacing w:before="33" w:line="221" w:lineRule="auto"/>
              <w:ind w:left="1072" w:right="107" w:hanging="959"/>
              <w:rPr>
                <w:sz w:val="24"/>
                <w:szCs w:val="24"/>
              </w:rPr>
            </w:pPr>
            <w:r>
              <w:rPr>
                <w:spacing w:val="1"/>
                <w:sz w:val="24"/>
                <w:szCs w:val="24"/>
              </w:rPr>
              <w:t>液氯运输车辆发生侧</w:t>
            </w:r>
            <w:r>
              <w:rPr>
                <w:spacing w:val="6"/>
                <w:sz w:val="24"/>
                <w:szCs w:val="24"/>
              </w:rPr>
              <w:t xml:space="preserve"> </w:t>
            </w:r>
            <w:r>
              <w:rPr>
                <w:sz w:val="24"/>
                <w:szCs w:val="24"/>
              </w:rPr>
              <w:t>翻</w:t>
            </w:r>
          </w:p>
        </w:tc>
        <w:tc>
          <w:tcPr>
            <w:tcW w:w="1568" w:type="dxa"/>
            <w:vAlign w:val="top"/>
          </w:tcPr>
          <w:p w14:paraId="798A33FE">
            <w:pPr>
              <w:pStyle w:val="6"/>
              <w:spacing w:before="194" w:line="219" w:lineRule="auto"/>
              <w:ind w:left="176"/>
              <w:rPr>
                <w:sz w:val="24"/>
                <w:szCs w:val="24"/>
              </w:rPr>
            </w:pPr>
            <w:r>
              <w:rPr>
                <w:spacing w:val="2"/>
                <w:sz w:val="24"/>
                <w:szCs w:val="24"/>
              </w:rPr>
              <w:t>无人员伤亡</w:t>
            </w:r>
          </w:p>
        </w:tc>
        <w:tc>
          <w:tcPr>
            <w:tcW w:w="1713" w:type="dxa"/>
            <w:vAlign w:val="top"/>
          </w:tcPr>
          <w:p w14:paraId="21FC5E84">
            <w:pPr>
              <w:pStyle w:val="6"/>
              <w:spacing w:before="56" w:line="212" w:lineRule="auto"/>
              <w:ind w:left="728" w:right="143" w:hanging="600"/>
              <w:rPr>
                <w:sz w:val="24"/>
                <w:szCs w:val="24"/>
              </w:rPr>
            </w:pPr>
            <w:r>
              <w:rPr>
                <w:spacing w:val="-2"/>
                <w:sz w:val="24"/>
                <w:szCs w:val="24"/>
              </w:rPr>
              <w:t>封堵、洗消处</w:t>
            </w:r>
            <w:r>
              <w:rPr>
                <w:spacing w:val="2"/>
                <w:sz w:val="24"/>
                <w:szCs w:val="24"/>
              </w:rPr>
              <w:t xml:space="preserve"> </w:t>
            </w:r>
            <w:r>
              <w:rPr>
                <w:sz w:val="24"/>
                <w:szCs w:val="24"/>
              </w:rPr>
              <w:t>理</w:t>
            </w:r>
          </w:p>
        </w:tc>
      </w:tr>
      <w:tr w14:paraId="6EFF9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1663" w:type="dxa"/>
            <w:vAlign w:val="top"/>
          </w:tcPr>
          <w:p w14:paraId="44578D1D">
            <w:pPr>
              <w:pStyle w:val="6"/>
              <w:spacing w:before="216" w:line="219" w:lineRule="auto"/>
              <w:ind w:left="105"/>
              <w:rPr>
                <w:sz w:val="24"/>
                <w:szCs w:val="24"/>
              </w:rPr>
            </w:pPr>
            <w:r>
              <w:rPr>
                <w:spacing w:val="1"/>
                <w:sz w:val="24"/>
                <w:szCs w:val="24"/>
              </w:rPr>
              <w:t>江西吉安吉水</w:t>
            </w:r>
          </w:p>
          <w:p w14:paraId="42CB0CA6">
            <w:pPr>
              <w:pStyle w:val="6"/>
              <w:spacing w:before="13" w:line="219" w:lineRule="auto"/>
              <w:ind w:left="105"/>
              <w:rPr>
                <w:sz w:val="24"/>
                <w:szCs w:val="24"/>
              </w:rPr>
            </w:pPr>
            <w:r>
              <w:rPr>
                <w:color w:val="405050"/>
                <w:spacing w:val="1"/>
                <w:sz w:val="24"/>
                <w:szCs w:val="24"/>
              </w:rPr>
              <w:t>县毒化肥事件</w:t>
            </w:r>
          </w:p>
        </w:tc>
        <w:tc>
          <w:tcPr>
            <w:tcW w:w="1329" w:type="dxa"/>
            <w:vAlign w:val="top"/>
          </w:tcPr>
          <w:p w14:paraId="2D42ED5E">
            <w:pPr>
              <w:spacing w:line="299" w:lineRule="auto"/>
              <w:rPr>
                <w:rFonts w:ascii="Arial"/>
                <w:sz w:val="21"/>
              </w:rPr>
            </w:pPr>
          </w:p>
          <w:p w14:paraId="42BD8845">
            <w:pPr>
              <w:pStyle w:val="6"/>
              <w:spacing w:before="78"/>
              <w:ind w:left="411"/>
              <w:rPr>
                <w:sz w:val="24"/>
                <w:szCs w:val="24"/>
              </w:rPr>
            </w:pPr>
            <w:r>
              <w:rPr>
                <w:spacing w:val="-3"/>
                <w:sz w:val="24"/>
                <w:szCs w:val="24"/>
              </w:rPr>
              <w:t>2016</w:t>
            </w:r>
          </w:p>
        </w:tc>
        <w:tc>
          <w:tcPr>
            <w:tcW w:w="2407" w:type="dxa"/>
            <w:vAlign w:val="top"/>
          </w:tcPr>
          <w:p w14:paraId="3FD02E52">
            <w:pPr>
              <w:pStyle w:val="6"/>
              <w:spacing w:before="205" w:line="241" w:lineRule="auto"/>
              <w:ind w:left="113" w:right="114"/>
              <w:rPr>
                <w:sz w:val="24"/>
                <w:szCs w:val="24"/>
              </w:rPr>
            </w:pPr>
            <w:r>
              <w:rPr>
                <w:sz w:val="24"/>
                <w:szCs w:val="24"/>
              </w:rPr>
              <w:t>水稻因使用有毒化肥</w:t>
            </w:r>
            <w:r>
              <w:rPr>
                <w:spacing w:val="7"/>
                <w:sz w:val="24"/>
                <w:szCs w:val="24"/>
              </w:rPr>
              <w:t xml:space="preserve"> </w:t>
            </w:r>
            <w:r>
              <w:rPr>
                <w:spacing w:val="1"/>
                <w:sz w:val="24"/>
                <w:szCs w:val="24"/>
              </w:rPr>
              <w:t>导致氟元素严重超标</w:t>
            </w:r>
          </w:p>
        </w:tc>
        <w:tc>
          <w:tcPr>
            <w:tcW w:w="1568" w:type="dxa"/>
            <w:vAlign w:val="top"/>
          </w:tcPr>
          <w:p w14:paraId="28F33485">
            <w:pPr>
              <w:pStyle w:val="6"/>
              <w:spacing w:before="56" w:line="220" w:lineRule="auto"/>
              <w:ind w:left="176"/>
              <w:rPr>
                <w:sz w:val="24"/>
                <w:szCs w:val="24"/>
              </w:rPr>
            </w:pPr>
            <w:r>
              <w:rPr>
                <w:spacing w:val="3"/>
                <w:sz w:val="24"/>
                <w:szCs w:val="24"/>
              </w:rPr>
              <w:t>农作物大片</w:t>
            </w:r>
          </w:p>
          <w:p w14:paraId="794B598F">
            <w:pPr>
              <w:pStyle w:val="6"/>
              <w:spacing w:before="32" w:line="208" w:lineRule="auto"/>
              <w:ind w:left="56"/>
              <w:rPr>
                <w:sz w:val="24"/>
                <w:szCs w:val="24"/>
              </w:rPr>
            </w:pPr>
            <w:r>
              <w:rPr>
                <w:spacing w:val="1"/>
                <w:sz w:val="24"/>
                <w:szCs w:val="24"/>
              </w:rPr>
              <w:t>死亡，周边水</w:t>
            </w:r>
          </w:p>
          <w:p w14:paraId="08ACE3FF">
            <w:pPr>
              <w:pStyle w:val="6"/>
              <w:spacing w:line="219" w:lineRule="auto"/>
              <w:ind w:left="176"/>
              <w:rPr>
                <w:sz w:val="24"/>
                <w:szCs w:val="24"/>
              </w:rPr>
            </w:pPr>
            <w:r>
              <w:rPr>
                <w:spacing w:val="-2"/>
                <w:sz w:val="24"/>
                <w:szCs w:val="24"/>
              </w:rPr>
              <w:t>体富营养化</w:t>
            </w:r>
          </w:p>
        </w:tc>
        <w:tc>
          <w:tcPr>
            <w:tcW w:w="1713" w:type="dxa"/>
            <w:vAlign w:val="top"/>
          </w:tcPr>
          <w:p w14:paraId="2CE4B29A">
            <w:pPr>
              <w:spacing w:line="412" w:lineRule="auto"/>
              <w:rPr>
                <w:rFonts w:ascii="Arial"/>
                <w:sz w:val="21"/>
              </w:rPr>
            </w:pPr>
          </w:p>
          <w:p w14:paraId="3D87BF12">
            <w:pPr>
              <w:pStyle w:val="6"/>
              <w:spacing w:before="78" w:line="163" w:lineRule="exact"/>
              <w:ind w:left="728"/>
              <w:rPr>
                <w:sz w:val="24"/>
                <w:szCs w:val="24"/>
              </w:rPr>
            </w:pPr>
            <w:r>
              <w:rPr>
                <w:spacing w:val="-2"/>
                <w:position w:val="-4"/>
                <w:sz w:val="24"/>
                <w:szCs w:val="24"/>
              </w:rPr>
              <w:t>--</w:t>
            </w:r>
          </w:p>
        </w:tc>
      </w:tr>
    </w:tbl>
    <w:p w14:paraId="05217FCB">
      <w:pPr>
        <w:spacing w:before="133" w:line="340" w:lineRule="auto"/>
        <w:ind w:left="145" w:right="182" w:firstLine="489"/>
        <w:rPr>
          <w:rFonts w:ascii="宋体" w:hAnsi="宋体" w:eastAsia="宋体" w:cs="宋体"/>
          <w:sz w:val="24"/>
          <w:szCs w:val="24"/>
        </w:rPr>
      </w:pPr>
      <w:r>
        <w:rPr>
          <w:rFonts w:ascii="宋体" w:hAnsi="宋体" w:eastAsia="宋体" w:cs="宋体"/>
          <w:spacing w:val="-2"/>
          <w:sz w:val="24"/>
          <w:szCs w:val="24"/>
        </w:rPr>
        <w:t>根据国内相关企业发生危险化学品泄漏事故案例表明，事故发生的原因主要</w:t>
      </w:r>
      <w:r>
        <w:rPr>
          <w:rFonts w:ascii="宋体" w:hAnsi="宋体" w:eastAsia="宋体" w:cs="宋体"/>
          <w:spacing w:val="17"/>
          <w:sz w:val="24"/>
          <w:szCs w:val="24"/>
        </w:rPr>
        <w:t xml:space="preserve"> </w:t>
      </w:r>
      <w:r>
        <w:rPr>
          <w:rFonts w:ascii="宋体" w:hAnsi="宋体" w:eastAsia="宋体" w:cs="宋体"/>
          <w:spacing w:val="-3"/>
          <w:sz w:val="24"/>
          <w:szCs w:val="24"/>
        </w:rPr>
        <w:t>集中在以下几方面：</w:t>
      </w:r>
    </w:p>
    <w:p w14:paraId="6AFE65DF">
      <w:pPr>
        <w:spacing w:before="47" w:line="283" w:lineRule="auto"/>
        <w:ind w:left="1374" w:right="184" w:hanging="600"/>
        <w:rPr>
          <w:rFonts w:ascii="宋体" w:hAnsi="宋体" w:eastAsia="宋体" w:cs="宋体"/>
          <w:sz w:val="24"/>
          <w:szCs w:val="24"/>
        </w:rPr>
      </w:pPr>
      <w:r>
        <w:rPr>
          <w:rFonts w:ascii="宋体" w:hAnsi="宋体" w:eastAsia="宋体" w:cs="宋体"/>
          <w:spacing w:val="5"/>
          <w:sz w:val="24"/>
          <w:szCs w:val="24"/>
        </w:rPr>
        <w:t>(1)在运输过程中因管理不规范，超速、超载等因素导致交通事故，引发</w:t>
      </w:r>
      <w:r>
        <w:rPr>
          <w:rFonts w:ascii="宋体" w:hAnsi="宋体" w:eastAsia="宋体" w:cs="宋体"/>
          <w:spacing w:val="4"/>
          <w:sz w:val="24"/>
          <w:szCs w:val="24"/>
        </w:rPr>
        <w:t xml:space="preserve"> </w:t>
      </w:r>
      <w:r>
        <w:rPr>
          <w:rFonts w:ascii="宋体" w:hAnsi="宋体" w:eastAsia="宋体" w:cs="宋体"/>
          <w:spacing w:val="-5"/>
          <w:sz w:val="24"/>
          <w:szCs w:val="24"/>
        </w:rPr>
        <w:t>次生灾害的发生；</w:t>
      </w:r>
    </w:p>
    <w:p w14:paraId="27CF4479">
      <w:pPr>
        <w:spacing w:before="205" w:line="275" w:lineRule="auto"/>
        <w:ind w:left="1364" w:right="186" w:hanging="600"/>
        <w:rPr>
          <w:rFonts w:ascii="宋体" w:hAnsi="宋体" w:eastAsia="宋体" w:cs="宋体"/>
          <w:sz w:val="24"/>
          <w:szCs w:val="24"/>
        </w:rPr>
      </w:pPr>
      <w:r>
        <w:rPr>
          <w:rFonts w:ascii="宋体" w:hAnsi="宋体" w:eastAsia="宋体" w:cs="宋体"/>
          <w:spacing w:val="5"/>
          <w:sz w:val="24"/>
          <w:szCs w:val="24"/>
        </w:rPr>
        <w:t>(2)农业种植过程中，没有严格控制化肥质量，导致农作物死亡，污染周</w:t>
      </w:r>
      <w:r>
        <w:rPr>
          <w:rFonts w:ascii="宋体" w:hAnsi="宋体" w:eastAsia="宋体" w:cs="宋体"/>
          <w:spacing w:val="12"/>
          <w:sz w:val="24"/>
          <w:szCs w:val="24"/>
        </w:rPr>
        <w:t xml:space="preserve"> </w:t>
      </w:r>
      <w:r>
        <w:rPr>
          <w:rFonts w:ascii="宋体" w:hAnsi="宋体" w:eastAsia="宋体" w:cs="宋体"/>
          <w:spacing w:val="-4"/>
          <w:sz w:val="24"/>
          <w:szCs w:val="24"/>
        </w:rPr>
        <w:t>边水体。</w:t>
      </w:r>
    </w:p>
    <w:p w14:paraId="51354040">
      <w:pPr>
        <w:spacing w:before="253" w:line="219" w:lineRule="auto"/>
        <w:ind w:left="149"/>
        <w:rPr>
          <w:rFonts w:ascii="宋体" w:hAnsi="宋体" w:eastAsia="宋体" w:cs="宋体"/>
          <w:sz w:val="28"/>
          <w:szCs w:val="28"/>
        </w:rPr>
      </w:pPr>
      <w:r>
        <w:rPr>
          <w:rFonts w:ascii="宋体" w:hAnsi="宋体" w:eastAsia="宋体" w:cs="宋体"/>
          <w:b/>
          <w:bCs/>
          <w:spacing w:val="-1"/>
          <w:sz w:val="28"/>
          <w:szCs w:val="28"/>
        </w:rPr>
        <w:t>3.2石拐区饮用水水源地事故资料统计</w:t>
      </w:r>
    </w:p>
    <w:p w14:paraId="134792BA">
      <w:pPr>
        <w:spacing w:before="229" w:line="357" w:lineRule="auto"/>
        <w:ind w:left="145" w:right="184" w:firstLine="489"/>
        <w:rPr>
          <w:rFonts w:ascii="宋体" w:hAnsi="宋体" w:eastAsia="宋体" w:cs="宋体"/>
          <w:sz w:val="25"/>
          <w:szCs w:val="25"/>
        </w:rPr>
      </w:pPr>
      <w:r>
        <w:rPr>
          <w:rFonts w:ascii="宋体" w:hAnsi="宋体" w:eastAsia="宋体" w:cs="宋体"/>
          <w:spacing w:val="-12"/>
          <w:sz w:val="25"/>
          <w:szCs w:val="25"/>
        </w:rPr>
        <w:t>根据现场了解和资料收集，石拐区饮用水水源地三年内未发生过与水体污染</w:t>
      </w:r>
      <w:r>
        <w:rPr>
          <w:rFonts w:ascii="宋体" w:hAnsi="宋体" w:eastAsia="宋体" w:cs="宋体"/>
          <w:spacing w:val="15"/>
          <w:sz w:val="25"/>
          <w:szCs w:val="25"/>
        </w:rPr>
        <w:t xml:space="preserve"> </w:t>
      </w:r>
      <w:r>
        <w:rPr>
          <w:rFonts w:ascii="宋体" w:hAnsi="宋体" w:eastAsia="宋体" w:cs="宋体"/>
          <w:spacing w:val="-10"/>
          <w:sz w:val="25"/>
          <w:szCs w:val="25"/>
        </w:rPr>
        <w:t>可能有关的涉及化学品生产安全事故、交通安全事故等涉水突发环境事件。</w:t>
      </w:r>
    </w:p>
    <w:p w14:paraId="1532F54F">
      <w:pPr>
        <w:spacing w:line="357" w:lineRule="auto"/>
        <w:rPr>
          <w:rFonts w:ascii="宋体" w:hAnsi="宋体" w:eastAsia="宋体" w:cs="宋体"/>
          <w:sz w:val="25"/>
          <w:szCs w:val="25"/>
        </w:rPr>
        <w:sectPr>
          <w:footerReference r:id="rId48" w:type="default"/>
          <w:pgSz w:w="11910" w:h="16850"/>
          <w:pgMar w:top="1432" w:right="1635" w:bottom="1395" w:left="1584" w:header="0" w:footer="1233" w:gutter="0"/>
          <w:cols w:space="720" w:num="1"/>
        </w:sectPr>
      </w:pPr>
    </w:p>
    <w:p w14:paraId="0A80520A">
      <w:pPr>
        <w:spacing w:line="251" w:lineRule="auto"/>
        <w:rPr>
          <w:rFonts w:ascii="Arial"/>
          <w:sz w:val="21"/>
        </w:rPr>
      </w:pPr>
    </w:p>
    <w:p w14:paraId="5AC1A4B2">
      <w:pPr>
        <w:spacing w:line="251" w:lineRule="auto"/>
        <w:rPr>
          <w:rFonts w:ascii="Arial"/>
          <w:sz w:val="21"/>
        </w:rPr>
      </w:pPr>
    </w:p>
    <w:p w14:paraId="71F1590E">
      <w:pPr>
        <w:spacing w:line="252" w:lineRule="auto"/>
        <w:rPr>
          <w:rFonts w:ascii="Arial"/>
          <w:sz w:val="21"/>
        </w:rPr>
      </w:pPr>
    </w:p>
    <w:p w14:paraId="3C19F5AE">
      <w:pPr>
        <w:spacing w:line="252" w:lineRule="auto"/>
        <w:rPr>
          <w:rFonts w:ascii="Arial"/>
          <w:sz w:val="21"/>
        </w:rPr>
      </w:pPr>
    </w:p>
    <w:p w14:paraId="449EFE09">
      <w:pPr>
        <w:spacing w:line="252" w:lineRule="auto"/>
        <w:rPr>
          <w:rFonts w:ascii="Arial"/>
          <w:sz w:val="21"/>
        </w:rPr>
      </w:pPr>
    </w:p>
    <w:p w14:paraId="63CD2674">
      <w:pPr>
        <w:spacing w:line="252" w:lineRule="auto"/>
        <w:rPr>
          <w:rFonts w:ascii="Arial"/>
          <w:sz w:val="21"/>
        </w:rPr>
      </w:pPr>
    </w:p>
    <w:p w14:paraId="20003EE3">
      <w:pPr>
        <w:spacing w:line="252" w:lineRule="auto"/>
        <w:rPr>
          <w:rFonts w:ascii="Arial"/>
          <w:sz w:val="21"/>
        </w:rPr>
      </w:pPr>
    </w:p>
    <w:p w14:paraId="7630F71C">
      <w:pPr>
        <w:spacing w:line="252" w:lineRule="auto"/>
        <w:rPr>
          <w:rFonts w:ascii="Arial"/>
          <w:sz w:val="21"/>
        </w:rPr>
      </w:pPr>
    </w:p>
    <w:p w14:paraId="27FC2BD1">
      <w:pPr>
        <w:spacing w:line="252" w:lineRule="auto"/>
        <w:rPr>
          <w:rFonts w:ascii="Arial"/>
          <w:sz w:val="21"/>
        </w:rPr>
      </w:pPr>
    </w:p>
    <w:p w14:paraId="7E78504D">
      <w:pPr>
        <w:spacing w:line="252" w:lineRule="auto"/>
        <w:rPr>
          <w:rFonts w:ascii="Arial"/>
          <w:sz w:val="21"/>
        </w:rPr>
      </w:pPr>
    </w:p>
    <w:p w14:paraId="4B843D9F">
      <w:pPr>
        <w:spacing w:line="252" w:lineRule="auto"/>
        <w:rPr>
          <w:rFonts w:ascii="Arial"/>
          <w:sz w:val="21"/>
        </w:rPr>
      </w:pPr>
    </w:p>
    <w:p w14:paraId="5115C36B">
      <w:pPr>
        <w:spacing w:line="252" w:lineRule="auto"/>
        <w:rPr>
          <w:rFonts w:ascii="Arial"/>
          <w:sz w:val="21"/>
        </w:rPr>
      </w:pPr>
    </w:p>
    <w:p w14:paraId="4B78F4C0">
      <w:pPr>
        <w:spacing w:before="69" w:line="192" w:lineRule="auto"/>
        <w:ind w:left="7020"/>
        <w:rPr>
          <w:rFonts w:ascii="Times New Roman" w:hAnsi="Times New Roman" w:eastAsia="Times New Roman" w:cs="Times New Roman"/>
          <w:sz w:val="24"/>
          <w:szCs w:val="24"/>
        </w:rPr>
      </w:pPr>
      <w:r>
        <w:drawing>
          <wp:anchor distT="0" distB="0" distL="0" distR="0" simplePos="0" relativeHeight="251672576" behindDoc="1" locked="0" layoutInCell="1" allowOverlap="1">
            <wp:simplePos x="0" y="0"/>
            <wp:positionH relativeFrom="column">
              <wp:posOffset>0</wp:posOffset>
            </wp:positionH>
            <wp:positionV relativeFrom="paragraph">
              <wp:posOffset>-1930400</wp:posOffset>
            </wp:positionV>
            <wp:extent cx="10699750" cy="75628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2"/>
                    <a:stretch>
                      <a:fillRect/>
                    </a:stretch>
                  </pic:blipFill>
                  <pic:spPr>
                    <a:xfrm>
                      <a:off x="0" y="0"/>
                      <a:ext cx="10699750" cy="7562850"/>
                    </a:xfrm>
                    <a:prstGeom prst="rect">
                      <a:avLst/>
                    </a:prstGeom>
                  </pic:spPr>
                </pic:pic>
              </a:graphicData>
            </a:graphic>
          </wp:anchor>
        </w:drawing>
      </w:r>
      <w:r>
        <w:rPr>
          <w:rFonts w:ascii="Times New Roman" w:hAnsi="Times New Roman" w:eastAsia="Times New Roman" w:cs="Times New Roman"/>
          <w:sz w:val="24"/>
          <w:szCs w:val="24"/>
        </w:rPr>
        <w:t>NI7(ul2</w:t>
      </w:r>
    </w:p>
    <w:p w14:paraId="78ED47B5">
      <w:pPr>
        <w:spacing w:line="241" w:lineRule="auto"/>
        <w:rPr>
          <w:rFonts w:ascii="Arial"/>
          <w:sz w:val="21"/>
        </w:rPr>
      </w:pPr>
    </w:p>
    <w:p w14:paraId="30CDAA50">
      <w:pPr>
        <w:spacing w:line="241" w:lineRule="auto"/>
        <w:rPr>
          <w:rFonts w:ascii="Arial"/>
          <w:sz w:val="21"/>
        </w:rPr>
      </w:pPr>
    </w:p>
    <w:p w14:paraId="0E940B05">
      <w:pPr>
        <w:spacing w:before="54" w:line="259" w:lineRule="exact"/>
        <w:ind w:left="8019"/>
        <w:rPr>
          <w:rFonts w:ascii="Arial" w:hAnsi="Arial" w:eastAsia="Arial" w:cs="Arial"/>
          <w:sz w:val="19"/>
          <w:szCs w:val="19"/>
        </w:rPr>
      </w:pPr>
      <w:r>
        <w:rPr>
          <w:rFonts w:ascii="Arial" w:hAnsi="Arial" w:eastAsia="Arial" w:cs="Arial"/>
          <w:spacing w:val="-5"/>
          <w:position w:val="1"/>
          <w:sz w:val="19"/>
          <w:szCs w:val="19"/>
        </w:rPr>
        <w:t>K-8</w:t>
      </w:r>
    </w:p>
    <w:p w14:paraId="63B334DE">
      <w:pPr>
        <w:spacing w:line="287" w:lineRule="auto"/>
        <w:rPr>
          <w:rFonts w:ascii="Arial"/>
          <w:sz w:val="21"/>
        </w:rPr>
      </w:pPr>
    </w:p>
    <w:p w14:paraId="0180C45A">
      <w:pPr>
        <w:spacing w:line="287" w:lineRule="auto"/>
        <w:rPr>
          <w:rFonts w:ascii="Arial"/>
          <w:sz w:val="21"/>
        </w:rPr>
      </w:pPr>
    </w:p>
    <w:p w14:paraId="1B86EF75">
      <w:pPr>
        <w:spacing w:line="287" w:lineRule="auto"/>
        <w:rPr>
          <w:rFonts w:ascii="Arial"/>
          <w:sz w:val="21"/>
        </w:rPr>
      </w:pPr>
    </w:p>
    <w:p w14:paraId="22E51CE8">
      <w:pPr>
        <w:spacing w:line="288" w:lineRule="auto"/>
        <w:rPr>
          <w:rFonts w:ascii="Arial"/>
          <w:sz w:val="21"/>
        </w:rPr>
      </w:pPr>
    </w:p>
    <w:p w14:paraId="3A8B488C">
      <w:pPr>
        <w:spacing w:before="67" w:line="188" w:lineRule="auto"/>
        <w:ind w:left="775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YDL-1</w:t>
      </w:r>
    </w:p>
    <w:p w14:paraId="29888930">
      <w:pPr>
        <w:spacing w:line="341" w:lineRule="auto"/>
        <w:rPr>
          <w:rFonts w:ascii="Arial"/>
          <w:sz w:val="21"/>
        </w:rPr>
      </w:pPr>
    </w:p>
    <w:p w14:paraId="3E4FF08E">
      <w:pPr>
        <w:spacing w:line="342" w:lineRule="auto"/>
        <w:rPr>
          <w:rFonts w:ascii="Arial"/>
          <w:sz w:val="21"/>
        </w:rPr>
      </w:pPr>
    </w:p>
    <w:p w14:paraId="7FA1CB0C">
      <w:pPr>
        <w:spacing w:before="69" w:line="228" w:lineRule="auto"/>
        <w:ind w:left="13473"/>
        <w:rPr>
          <w:rFonts w:ascii="楷体" w:hAnsi="楷体" w:eastAsia="楷体" w:cs="楷体"/>
          <w:sz w:val="21"/>
          <w:szCs w:val="21"/>
        </w:rPr>
      </w:pPr>
      <w:r>
        <w:rPr>
          <w:rFonts w:ascii="楷体" w:hAnsi="楷体" w:eastAsia="楷体" w:cs="楷体"/>
          <w:b/>
          <w:bCs/>
          <w:spacing w:val="-20"/>
          <w:sz w:val="21"/>
          <w:szCs w:val="21"/>
        </w:rPr>
        <w:t>图</w:t>
      </w:r>
      <w:r>
        <w:rPr>
          <w:rFonts w:ascii="楷体" w:hAnsi="楷体" w:eastAsia="楷体" w:cs="楷体"/>
          <w:spacing w:val="29"/>
          <w:sz w:val="21"/>
          <w:szCs w:val="21"/>
        </w:rPr>
        <w:t xml:space="preserve"> </w:t>
      </w:r>
      <w:r>
        <w:rPr>
          <w:rFonts w:ascii="楷体" w:hAnsi="楷体" w:eastAsia="楷体" w:cs="楷体"/>
          <w:b/>
          <w:bCs/>
          <w:spacing w:val="-20"/>
          <w:sz w:val="21"/>
          <w:szCs w:val="21"/>
        </w:rPr>
        <w:t>例</w:t>
      </w:r>
    </w:p>
    <w:p w14:paraId="3D1C5144">
      <w:pPr>
        <w:spacing w:line="246" w:lineRule="auto"/>
        <w:rPr>
          <w:rFonts w:ascii="Arial"/>
          <w:sz w:val="21"/>
        </w:rPr>
      </w:pPr>
    </w:p>
    <w:p w14:paraId="05325DD0">
      <w:pPr>
        <w:spacing w:before="48" w:line="286" w:lineRule="auto"/>
        <w:ind w:left="13692" w:right="2483" w:hanging="40"/>
        <w:rPr>
          <w:rFonts w:ascii="宋体" w:hAnsi="宋体" w:eastAsia="宋体" w:cs="宋体"/>
          <w:sz w:val="15"/>
          <w:szCs w:val="15"/>
        </w:rPr>
      </w:pPr>
      <w:r>
        <w:pict>
          <v:shape id="_x0000_s1038" o:spid="_x0000_s1038" o:spt="202" type="#_x0000_t202" style="position:absolute;left:0pt;margin-left:328.5pt;margin-top:-2.35pt;height:15.15pt;width:51.75pt;z-index:251673600;mso-width-relative:page;mso-height-relative:page;" filled="f" stroked="f" coordsize="21600,21600">
            <v:path/>
            <v:fill on="f" focussize="0,0"/>
            <v:stroke on="f"/>
            <v:imagedata o:title=""/>
            <o:lock v:ext="edit" aspectratio="f"/>
            <v:textbox inset="0mm,0mm,0mm,0mm">
              <w:txbxContent>
                <w:p w14:paraId="114F3050">
                  <w:pPr>
                    <w:spacing w:before="20" w:line="220" w:lineRule="auto"/>
                    <w:ind w:left="20"/>
                    <w:rPr>
                      <w:rFonts w:ascii="隶书" w:hAnsi="隶书" w:eastAsia="隶书" w:cs="隶书"/>
                      <w:sz w:val="22"/>
                      <w:szCs w:val="22"/>
                    </w:rPr>
                  </w:pPr>
                  <w:r>
                    <w:rPr>
                      <w:rFonts w:ascii="黑体" w:hAnsi="黑体" w:eastAsia="黑体" w:cs="黑体"/>
                      <w:spacing w:val="-7"/>
                      <w:sz w:val="22"/>
                      <w:szCs w:val="22"/>
                    </w:rPr>
                    <w:t>伽</w:t>
                  </w:r>
                  <w:r>
                    <w:rPr>
                      <w:rFonts w:ascii="黑体" w:hAnsi="黑体" w:eastAsia="黑体" w:cs="黑体"/>
                      <w:spacing w:val="-33"/>
                      <w:sz w:val="22"/>
                      <w:szCs w:val="22"/>
                    </w:rPr>
                    <w:t xml:space="preserve"> </w:t>
                  </w:r>
                  <w:r>
                    <w:rPr>
                      <w:rFonts w:ascii="黑体" w:hAnsi="黑体" w:eastAsia="黑体" w:cs="黑体"/>
                      <w:spacing w:val="-7"/>
                      <w:sz w:val="22"/>
                      <w:szCs w:val="22"/>
                    </w:rPr>
                    <w:t>房</w:t>
                  </w:r>
                  <w:r>
                    <w:rPr>
                      <w:rFonts w:ascii="黑体" w:hAnsi="黑体" w:eastAsia="黑体" w:cs="黑体"/>
                      <w:spacing w:val="-33"/>
                      <w:sz w:val="22"/>
                      <w:szCs w:val="22"/>
                    </w:rPr>
                    <w:t xml:space="preserve"> </w:t>
                  </w:r>
                  <w:r>
                    <w:rPr>
                      <w:rFonts w:ascii="黑体" w:hAnsi="黑体" w:eastAsia="黑体" w:cs="黑体"/>
                      <w:spacing w:val="-7"/>
                      <w:sz w:val="22"/>
                      <w:szCs w:val="22"/>
                    </w:rPr>
                    <w:t>地</w:t>
                  </w:r>
                  <w:r>
                    <w:rPr>
                      <w:rFonts w:ascii="隶书" w:hAnsi="隶书" w:eastAsia="隶书" w:cs="隶书"/>
                      <w:spacing w:val="-7"/>
                      <w:sz w:val="22"/>
                      <w:szCs w:val="22"/>
                    </w:rPr>
                    <w:t>贸</w:t>
                  </w:r>
                </w:p>
              </w:txbxContent>
            </v:textbox>
          </v:shape>
        </w:pict>
      </w:r>
      <w:r>
        <w:rPr>
          <w:rFonts w:ascii="黑体" w:hAnsi="黑体" w:eastAsia="黑体" w:cs="黑体"/>
          <w:b/>
          <w:bCs/>
          <w:spacing w:val="-9"/>
          <w:sz w:val="15"/>
          <w:szCs w:val="15"/>
        </w:rPr>
        <w:t>二级保护区</w:t>
      </w:r>
      <w:r>
        <w:rPr>
          <w:rFonts w:ascii="黑体" w:hAnsi="黑体" w:eastAsia="黑体" w:cs="黑体"/>
          <w:sz w:val="15"/>
          <w:szCs w:val="15"/>
        </w:rPr>
        <w:t xml:space="preserve"> </w:t>
      </w:r>
      <w:r>
        <w:rPr>
          <w:rFonts w:ascii="宋体" w:hAnsi="宋体" w:eastAsia="宋体" w:cs="宋体"/>
          <w:b/>
          <w:bCs/>
          <w:spacing w:val="3"/>
          <w:sz w:val="15"/>
          <w:szCs w:val="15"/>
        </w:rPr>
        <w:t>蔬菜大船</w:t>
      </w:r>
    </w:p>
    <w:p w14:paraId="1C013DAC">
      <w:pPr>
        <w:spacing w:before="1" w:line="226" w:lineRule="auto"/>
        <w:ind w:left="13819" w:right="2564" w:hanging="100"/>
        <w:rPr>
          <w:rFonts w:ascii="隶书" w:hAnsi="隶书" w:eastAsia="隶书" w:cs="隶书"/>
          <w:sz w:val="19"/>
          <w:szCs w:val="19"/>
        </w:rPr>
      </w:pPr>
      <w:r>
        <w:rPr>
          <w:rFonts w:ascii="宋体" w:hAnsi="宋体" w:eastAsia="宋体" w:cs="宋体"/>
          <w:spacing w:val="-11"/>
          <w:w w:val="89"/>
          <w:sz w:val="17"/>
          <w:szCs w:val="17"/>
        </w:rPr>
        <w:t>人造林地</w:t>
      </w:r>
      <w:r>
        <w:rPr>
          <w:rFonts w:ascii="宋体" w:hAnsi="宋体" w:eastAsia="宋体" w:cs="宋体"/>
          <w:spacing w:val="3"/>
          <w:sz w:val="17"/>
          <w:szCs w:val="17"/>
        </w:rPr>
        <w:t xml:space="preserve"> </w:t>
      </w:r>
      <w:r>
        <w:rPr>
          <w:rFonts w:ascii="隶书" w:hAnsi="隶书" w:eastAsia="隶书" w:cs="隶书"/>
          <w:spacing w:val="-15"/>
          <w:sz w:val="19"/>
          <w:szCs w:val="19"/>
        </w:rPr>
        <w:t>农田</w:t>
      </w:r>
    </w:p>
    <w:p w14:paraId="1AECBD75">
      <w:pPr>
        <w:spacing w:line="176" w:lineRule="exact"/>
        <w:ind w:left="13820"/>
        <w:rPr>
          <w:rFonts w:ascii="隶书" w:hAnsi="隶书" w:eastAsia="隶书" w:cs="隶书"/>
          <w:sz w:val="22"/>
          <w:szCs w:val="22"/>
        </w:rPr>
      </w:pPr>
      <w:r>
        <w:rPr>
          <w:rFonts w:ascii="隶书" w:hAnsi="隶书" w:eastAsia="隶书" w:cs="隶书"/>
          <w:spacing w:val="-7"/>
          <w:w w:val="90"/>
          <w:position w:val="-2"/>
          <w:sz w:val="22"/>
          <w:szCs w:val="22"/>
        </w:rPr>
        <w:t>道路</w:t>
      </w:r>
    </w:p>
    <w:p w14:paraId="753B059D">
      <w:pPr>
        <w:spacing w:before="1" w:line="218" w:lineRule="auto"/>
        <w:ind w:left="13822"/>
        <w:rPr>
          <w:rFonts w:ascii="宋体" w:hAnsi="宋体" w:eastAsia="宋体" w:cs="宋体"/>
          <w:sz w:val="20"/>
          <w:szCs w:val="20"/>
        </w:rPr>
      </w:pPr>
      <w:r>
        <w:rPr>
          <w:rFonts w:ascii="宋体" w:hAnsi="宋体" w:eastAsia="宋体" w:cs="宋体"/>
          <w:b/>
          <w:bCs/>
          <w:spacing w:val="-19"/>
          <w:sz w:val="20"/>
          <w:szCs w:val="20"/>
        </w:rPr>
        <w:t>村庄</w:t>
      </w:r>
    </w:p>
    <w:p w14:paraId="058E1AD1">
      <w:pPr>
        <w:spacing w:before="28" w:line="171" w:lineRule="auto"/>
        <w:ind w:left="13769"/>
        <w:rPr>
          <w:rFonts w:ascii="隶书" w:hAnsi="隶书" w:eastAsia="隶书" w:cs="隶书"/>
          <w:sz w:val="23"/>
          <w:szCs w:val="23"/>
        </w:rPr>
      </w:pPr>
      <w:r>
        <w:rPr>
          <w:rFonts w:ascii="隶书" w:hAnsi="隶书" w:eastAsia="隶书" w:cs="隶书"/>
          <w:spacing w:val="-6"/>
          <w:w w:val="76"/>
          <w:sz w:val="23"/>
          <w:szCs w:val="23"/>
        </w:rPr>
        <w:t>水边线</w:t>
      </w:r>
    </w:p>
    <w:p w14:paraId="77E0CDBE">
      <w:pPr>
        <w:spacing w:before="1" w:line="220" w:lineRule="auto"/>
        <w:ind w:left="13042"/>
        <w:rPr>
          <w:rFonts w:ascii="黑体" w:hAnsi="黑体" w:eastAsia="黑体" w:cs="黑体"/>
          <w:sz w:val="15"/>
          <w:szCs w:val="15"/>
        </w:rPr>
      </w:pPr>
      <w:r>
        <w:rPr>
          <w:rFonts w:ascii="黑体" w:hAnsi="黑体" w:eastAsia="黑体" w:cs="黑体"/>
          <w:b/>
          <w:bCs/>
          <w:spacing w:val="-10"/>
          <w:sz w:val="15"/>
          <w:szCs w:val="15"/>
        </w:rPr>
        <w:t>比例尺：</w:t>
      </w:r>
    </w:p>
    <w:p w14:paraId="482C89F9">
      <w:pPr>
        <w:spacing w:before="185" w:line="196" w:lineRule="auto"/>
        <w:ind w:left="10929"/>
        <w:rPr>
          <w:rFonts w:ascii="Arial" w:hAnsi="Arial" w:eastAsia="Arial" w:cs="Arial"/>
          <w:sz w:val="21"/>
          <w:szCs w:val="21"/>
        </w:rPr>
      </w:pPr>
      <w:r>
        <w:rPr>
          <w:rFonts w:ascii="Arial" w:hAnsi="Arial" w:eastAsia="Arial" w:cs="Arial"/>
          <w:spacing w:val="-2"/>
          <w:sz w:val="21"/>
          <w:szCs w:val="21"/>
        </w:rPr>
        <w:t>TTB</w:t>
      </w:r>
    </w:p>
    <w:p w14:paraId="79F4F631">
      <w:pPr>
        <w:spacing w:line="302" w:lineRule="auto"/>
        <w:rPr>
          <w:rFonts w:ascii="Arial"/>
          <w:sz w:val="21"/>
        </w:rPr>
      </w:pPr>
    </w:p>
    <w:p w14:paraId="44AE0531">
      <w:pPr>
        <w:spacing w:line="302" w:lineRule="auto"/>
        <w:rPr>
          <w:rFonts w:ascii="Arial"/>
          <w:sz w:val="21"/>
        </w:rPr>
      </w:pPr>
    </w:p>
    <w:p w14:paraId="0969A027">
      <w:pPr>
        <w:spacing w:before="85" w:line="219" w:lineRule="auto"/>
        <w:ind w:left="6333"/>
        <w:rPr>
          <w:rFonts w:ascii="宋体" w:hAnsi="宋体" w:eastAsia="宋体" w:cs="宋体"/>
          <w:sz w:val="26"/>
          <w:szCs w:val="26"/>
        </w:rPr>
      </w:pPr>
      <w:r>
        <w:rPr>
          <w:rFonts w:ascii="宋体" w:hAnsi="宋体" w:eastAsia="宋体" w:cs="宋体"/>
          <w:b/>
          <w:bCs/>
          <w:spacing w:val="-19"/>
          <w:sz w:val="26"/>
          <w:szCs w:val="26"/>
        </w:rPr>
        <w:t>图2-3</w:t>
      </w:r>
      <w:r>
        <w:rPr>
          <w:rFonts w:ascii="宋体" w:hAnsi="宋体" w:eastAsia="宋体" w:cs="宋体"/>
          <w:spacing w:val="72"/>
          <w:sz w:val="26"/>
          <w:szCs w:val="26"/>
        </w:rPr>
        <w:t xml:space="preserve"> </w:t>
      </w:r>
      <w:r>
        <w:rPr>
          <w:rFonts w:ascii="宋体" w:hAnsi="宋体" w:eastAsia="宋体" w:cs="宋体"/>
          <w:b/>
          <w:bCs/>
          <w:spacing w:val="-19"/>
          <w:sz w:val="26"/>
          <w:szCs w:val="26"/>
        </w:rPr>
        <w:t>石拐区水源地二级级保护区调查结果图</w:t>
      </w:r>
    </w:p>
    <w:p w14:paraId="02F81A01">
      <w:pPr>
        <w:spacing w:line="474" w:lineRule="auto"/>
        <w:rPr>
          <w:rFonts w:ascii="Arial"/>
          <w:sz w:val="21"/>
        </w:rPr>
      </w:pPr>
    </w:p>
    <w:p w14:paraId="0F77EBE2">
      <w:pPr>
        <w:spacing w:before="43" w:line="188" w:lineRule="auto"/>
        <w:ind w:left="8469"/>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18</w:t>
      </w:r>
    </w:p>
    <w:p w14:paraId="0C9008D9">
      <w:pPr>
        <w:spacing w:line="188" w:lineRule="auto"/>
        <w:rPr>
          <w:rFonts w:ascii="Times New Roman" w:hAnsi="Times New Roman" w:eastAsia="Times New Roman" w:cs="Times New Roman"/>
          <w:sz w:val="15"/>
          <w:szCs w:val="15"/>
        </w:rPr>
        <w:sectPr>
          <w:footerReference r:id="rId49" w:type="default"/>
          <w:pgSz w:w="16850" w:h="11910"/>
          <w:pgMar w:top="0" w:right="0" w:bottom="400" w:left="0" w:header="0" w:footer="0" w:gutter="0"/>
          <w:cols w:space="720" w:num="1"/>
        </w:sectPr>
      </w:pPr>
    </w:p>
    <w:p w14:paraId="370BFA6B">
      <w:pPr>
        <w:spacing w:line="244" w:lineRule="auto"/>
        <w:rPr>
          <w:rFonts w:ascii="Arial"/>
          <w:sz w:val="21"/>
        </w:rPr>
      </w:pPr>
    </w:p>
    <w:p w14:paraId="189218EF">
      <w:pPr>
        <w:spacing w:line="245" w:lineRule="auto"/>
        <w:rPr>
          <w:rFonts w:ascii="Arial"/>
          <w:sz w:val="21"/>
        </w:rPr>
      </w:pPr>
    </w:p>
    <w:p w14:paraId="32F13E0A">
      <w:pPr>
        <w:spacing w:line="245" w:lineRule="auto"/>
        <w:rPr>
          <w:rFonts w:ascii="Arial"/>
          <w:sz w:val="21"/>
        </w:rPr>
      </w:pPr>
    </w:p>
    <w:p w14:paraId="17182CE2">
      <w:pPr>
        <w:spacing w:line="245" w:lineRule="auto"/>
        <w:rPr>
          <w:rFonts w:ascii="Arial"/>
          <w:sz w:val="21"/>
        </w:rPr>
      </w:pPr>
    </w:p>
    <w:p w14:paraId="11D04DCC">
      <w:pPr>
        <w:spacing w:line="245" w:lineRule="auto"/>
        <w:rPr>
          <w:rFonts w:ascii="Arial"/>
          <w:sz w:val="21"/>
        </w:rPr>
      </w:pPr>
    </w:p>
    <w:p w14:paraId="2B288D79">
      <w:pPr>
        <w:spacing w:line="245" w:lineRule="auto"/>
        <w:rPr>
          <w:rFonts w:ascii="Arial"/>
          <w:sz w:val="21"/>
        </w:rPr>
      </w:pPr>
    </w:p>
    <w:p w14:paraId="1EF09B10">
      <w:pPr>
        <w:spacing w:line="245" w:lineRule="auto"/>
        <w:rPr>
          <w:rFonts w:ascii="Arial"/>
          <w:sz w:val="21"/>
        </w:rPr>
      </w:pPr>
    </w:p>
    <w:p w14:paraId="356EE161">
      <w:pPr>
        <w:spacing w:line="245" w:lineRule="auto"/>
        <w:rPr>
          <w:rFonts w:ascii="Arial"/>
          <w:sz w:val="21"/>
        </w:rPr>
      </w:pPr>
    </w:p>
    <w:p w14:paraId="6235B130">
      <w:pPr>
        <w:spacing w:line="245" w:lineRule="auto"/>
        <w:rPr>
          <w:rFonts w:ascii="Arial"/>
          <w:sz w:val="21"/>
        </w:rPr>
      </w:pPr>
    </w:p>
    <w:p w14:paraId="7A71E70D">
      <w:pPr>
        <w:spacing w:line="245" w:lineRule="auto"/>
        <w:rPr>
          <w:rFonts w:ascii="Arial"/>
          <w:sz w:val="21"/>
        </w:rPr>
      </w:pPr>
    </w:p>
    <w:p w14:paraId="5C2CC155">
      <w:pPr>
        <w:spacing w:line="245" w:lineRule="auto"/>
        <w:rPr>
          <w:rFonts w:ascii="Arial"/>
          <w:sz w:val="21"/>
        </w:rPr>
      </w:pPr>
    </w:p>
    <w:p w14:paraId="56A4F354">
      <w:pPr>
        <w:spacing w:line="245" w:lineRule="auto"/>
        <w:rPr>
          <w:rFonts w:ascii="Arial"/>
          <w:sz w:val="21"/>
        </w:rPr>
      </w:pPr>
    </w:p>
    <w:p w14:paraId="7D2BAA1B">
      <w:pPr>
        <w:spacing w:line="245" w:lineRule="auto"/>
        <w:rPr>
          <w:rFonts w:ascii="Arial"/>
          <w:sz w:val="21"/>
        </w:rPr>
      </w:pPr>
    </w:p>
    <w:p w14:paraId="0279308F">
      <w:pPr>
        <w:spacing w:line="245" w:lineRule="auto"/>
        <w:rPr>
          <w:rFonts w:ascii="Arial"/>
          <w:sz w:val="21"/>
        </w:rPr>
      </w:pPr>
    </w:p>
    <w:p w14:paraId="5F42F581">
      <w:pPr>
        <w:spacing w:line="245" w:lineRule="auto"/>
        <w:rPr>
          <w:rFonts w:ascii="Arial"/>
          <w:sz w:val="21"/>
        </w:rPr>
      </w:pPr>
    </w:p>
    <w:p w14:paraId="418598F4">
      <w:pPr>
        <w:spacing w:line="245" w:lineRule="auto"/>
        <w:rPr>
          <w:rFonts w:ascii="Arial"/>
          <w:sz w:val="21"/>
        </w:rPr>
      </w:pPr>
    </w:p>
    <w:p w14:paraId="3A340C9F">
      <w:pPr>
        <w:spacing w:line="245" w:lineRule="auto"/>
        <w:rPr>
          <w:rFonts w:ascii="Arial"/>
          <w:sz w:val="21"/>
        </w:rPr>
      </w:pPr>
    </w:p>
    <w:p w14:paraId="4EC6CB80">
      <w:pPr>
        <w:spacing w:line="245" w:lineRule="auto"/>
        <w:rPr>
          <w:rFonts w:ascii="Arial"/>
          <w:sz w:val="21"/>
        </w:rPr>
      </w:pPr>
    </w:p>
    <w:p w14:paraId="1A312E81">
      <w:pPr>
        <w:spacing w:line="245" w:lineRule="auto"/>
        <w:rPr>
          <w:rFonts w:ascii="Arial"/>
          <w:sz w:val="21"/>
        </w:rPr>
      </w:pPr>
    </w:p>
    <w:p w14:paraId="479DE272">
      <w:pPr>
        <w:spacing w:line="245" w:lineRule="auto"/>
        <w:rPr>
          <w:rFonts w:ascii="Arial"/>
          <w:sz w:val="21"/>
        </w:rPr>
      </w:pPr>
    </w:p>
    <w:p w14:paraId="119B9EC8">
      <w:pPr>
        <w:spacing w:line="245" w:lineRule="auto"/>
        <w:rPr>
          <w:rFonts w:ascii="Arial"/>
          <w:sz w:val="21"/>
        </w:rPr>
      </w:pPr>
    </w:p>
    <w:p w14:paraId="07CA8A01">
      <w:pPr>
        <w:spacing w:line="245" w:lineRule="auto"/>
        <w:rPr>
          <w:rFonts w:ascii="Arial"/>
          <w:sz w:val="21"/>
        </w:rPr>
      </w:pPr>
    </w:p>
    <w:p w14:paraId="5CA20DFE">
      <w:pPr>
        <w:spacing w:line="245" w:lineRule="auto"/>
        <w:rPr>
          <w:rFonts w:ascii="Arial"/>
          <w:sz w:val="21"/>
        </w:rPr>
      </w:pPr>
    </w:p>
    <w:p w14:paraId="36D5C23A">
      <w:pPr>
        <w:spacing w:line="245" w:lineRule="auto"/>
        <w:rPr>
          <w:rFonts w:ascii="Arial"/>
          <w:sz w:val="21"/>
        </w:rPr>
      </w:pPr>
    </w:p>
    <w:p w14:paraId="0459F652">
      <w:pPr>
        <w:spacing w:line="245" w:lineRule="auto"/>
        <w:rPr>
          <w:rFonts w:ascii="Arial"/>
          <w:sz w:val="21"/>
        </w:rPr>
      </w:pPr>
    </w:p>
    <w:p w14:paraId="502EEFEF">
      <w:pPr>
        <w:spacing w:line="245" w:lineRule="auto"/>
        <w:rPr>
          <w:rFonts w:ascii="Arial"/>
          <w:sz w:val="21"/>
        </w:rPr>
      </w:pPr>
    </w:p>
    <w:p w14:paraId="02BF763B">
      <w:pPr>
        <w:spacing w:before="78" w:line="228" w:lineRule="auto"/>
        <w:ind w:left="13343"/>
        <w:rPr>
          <w:rFonts w:ascii="楷体" w:hAnsi="楷体" w:eastAsia="楷体" w:cs="楷体"/>
          <w:sz w:val="24"/>
          <w:szCs w:val="24"/>
        </w:rPr>
      </w:pPr>
      <w:r>
        <w:drawing>
          <wp:anchor distT="0" distB="0" distL="0" distR="0" simplePos="0" relativeHeight="251674624" behindDoc="1" locked="0" layoutInCell="1" allowOverlap="1">
            <wp:simplePos x="0" y="0"/>
            <wp:positionH relativeFrom="column">
              <wp:posOffset>0</wp:posOffset>
            </wp:positionH>
            <wp:positionV relativeFrom="paragraph">
              <wp:posOffset>-4069080</wp:posOffset>
            </wp:positionV>
            <wp:extent cx="10699750" cy="75628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3"/>
                    <a:stretch>
                      <a:fillRect/>
                    </a:stretch>
                  </pic:blipFill>
                  <pic:spPr>
                    <a:xfrm>
                      <a:off x="0" y="0"/>
                      <a:ext cx="10699750" cy="7562850"/>
                    </a:xfrm>
                    <a:prstGeom prst="rect">
                      <a:avLst/>
                    </a:prstGeom>
                  </pic:spPr>
                </pic:pic>
              </a:graphicData>
            </a:graphic>
          </wp:anchor>
        </w:drawing>
      </w:r>
      <w:r>
        <w:rPr>
          <w:rFonts w:ascii="楷体" w:hAnsi="楷体" w:eastAsia="楷体" w:cs="楷体"/>
          <w:b/>
          <w:bCs/>
          <w:spacing w:val="-22"/>
          <w:sz w:val="24"/>
          <w:szCs w:val="24"/>
        </w:rPr>
        <w:t>图</w:t>
      </w:r>
      <w:r>
        <w:rPr>
          <w:rFonts w:ascii="楷体" w:hAnsi="楷体" w:eastAsia="楷体" w:cs="楷体"/>
          <w:spacing w:val="98"/>
          <w:sz w:val="24"/>
          <w:szCs w:val="24"/>
        </w:rPr>
        <w:t xml:space="preserve"> </w:t>
      </w:r>
      <w:r>
        <w:rPr>
          <w:rFonts w:ascii="楷体" w:hAnsi="楷体" w:eastAsia="楷体" w:cs="楷体"/>
          <w:b/>
          <w:bCs/>
          <w:spacing w:val="-22"/>
          <w:sz w:val="24"/>
          <w:szCs w:val="24"/>
        </w:rPr>
        <w:t>例</w:t>
      </w:r>
    </w:p>
    <w:p w14:paraId="49984B3B">
      <w:pPr>
        <w:spacing w:before="229" w:line="221" w:lineRule="auto"/>
        <w:ind w:left="13670"/>
        <w:rPr>
          <w:rFonts w:ascii="黑体" w:hAnsi="黑体" w:eastAsia="黑体" w:cs="黑体"/>
          <w:sz w:val="17"/>
          <w:szCs w:val="17"/>
        </w:rPr>
      </w:pPr>
      <w:r>
        <w:rPr>
          <w:rFonts w:ascii="宋体" w:hAnsi="宋体" w:eastAsia="宋体" w:cs="宋体"/>
          <w:spacing w:val="-1"/>
          <w:sz w:val="17"/>
          <w:szCs w:val="17"/>
        </w:rPr>
        <w:t>一</w:t>
      </w:r>
      <w:r>
        <w:rPr>
          <w:rFonts w:ascii="黑体" w:hAnsi="黑体" w:eastAsia="黑体" w:cs="黑体"/>
          <w:b/>
          <w:bCs/>
          <w:spacing w:val="-1"/>
          <w:sz w:val="17"/>
          <w:szCs w:val="17"/>
        </w:rPr>
        <w:t>级保护区</w:t>
      </w:r>
    </w:p>
    <w:p w14:paraId="07B8B320">
      <w:pPr>
        <w:spacing w:before="180" w:line="174" w:lineRule="auto"/>
        <w:ind w:left="13889"/>
        <w:rPr>
          <w:rFonts w:ascii="隶书" w:hAnsi="隶书" w:eastAsia="隶书" w:cs="隶书"/>
          <w:sz w:val="25"/>
          <w:szCs w:val="25"/>
        </w:rPr>
      </w:pPr>
      <w:r>
        <w:rPr>
          <w:rFonts w:ascii="隶书" w:hAnsi="隶书" w:eastAsia="隶书" w:cs="隶书"/>
          <w:spacing w:val="-32"/>
          <w:w w:val="98"/>
          <w:sz w:val="25"/>
          <w:szCs w:val="25"/>
        </w:rPr>
        <w:t>农田</w:t>
      </w:r>
    </w:p>
    <w:p w14:paraId="0CCD2121">
      <w:pPr>
        <w:spacing w:before="74" w:line="178" w:lineRule="auto"/>
        <w:ind w:left="13889"/>
        <w:rPr>
          <w:rFonts w:ascii="隶书" w:hAnsi="隶书" w:eastAsia="隶书" w:cs="隶书"/>
          <w:sz w:val="28"/>
          <w:szCs w:val="28"/>
        </w:rPr>
      </w:pPr>
      <w:r>
        <w:rPr>
          <w:rFonts w:ascii="隶书" w:hAnsi="隶书" w:eastAsia="隶书" w:cs="隶书"/>
          <w:color w:val="405050"/>
          <w:spacing w:val="-9"/>
          <w:w w:val="82"/>
          <w:sz w:val="28"/>
          <w:szCs w:val="28"/>
        </w:rPr>
        <w:t>道路</w:t>
      </w:r>
    </w:p>
    <w:p w14:paraId="628AAF85">
      <w:pPr>
        <w:spacing w:before="145" w:line="219" w:lineRule="auto"/>
        <w:ind w:left="13792"/>
        <w:rPr>
          <w:rFonts w:ascii="黑体" w:hAnsi="黑体" w:eastAsia="黑体" w:cs="黑体"/>
          <w:sz w:val="15"/>
          <w:szCs w:val="15"/>
        </w:rPr>
      </w:pPr>
      <w:r>
        <w:rPr>
          <w:rFonts w:ascii="黑体" w:hAnsi="黑体" w:eastAsia="黑体" w:cs="黑体"/>
          <w:b/>
          <w:bCs/>
          <w:spacing w:val="15"/>
          <w:sz w:val="15"/>
          <w:szCs w:val="15"/>
        </w:rPr>
        <w:t>水边线</w:t>
      </w:r>
    </w:p>
    <w:p w14:paraId="1126D7EF">
      <w:pPr>
        <w:spacing w:before="103" w:line="221" w:lineRule="auto"/>
        <w:ind w:left="12952"/>
        <w:rPr>
          <w:rFonts w:ascii="黑体" w:hAnsi="黑体" w:eastAsia="黑体" w:cs="黑体"/>
          <w:sz w:val="17"/>
          <w:szCs w:val="17"/>
        </w:rPr>
      </w:pPr>
      <w:r>
        <w:rPr>
          <w:rFonts w:ascii="黑体" w:hAnsi="黑体" w:eastAsia="黑体" w:cs="黑体"/>
          <w:b/>
          <w:bCs/>
          <w:spacing w:val="-11"/>
          <w:sz w:val="17"/>
          <w:szCs w:val="17"/>
        </w:rPr>
        <w:t>比例尺：</w:t>
      </w:r>
    </w:p>
    <w:p w14:paraId="5CC3744A">
      <w:pPr>
        <w:spacing w:line="252" w:lineRule="auto"/>
        <w:rPr>
          <w:rFonts w:ascii="Arial"/>
          <w:sz w:val="21"/>
        </w:rPr>
      </w:pPr>
    </w:p>
    <w:p w14:paraId="432394D1">
      <w:pPr>
        <w:spacing w:line="252" w:lineRule="auto"/>
        <w:rPr>
          <w:rFonts w:ascii="Arial"/>
          <w:sz w:val="21"/>
        </w:rPr>
      </w:pPr>
    </w:p>
    <w:p w14:paraId="7466C60B">
      <w:pPr>
        <w:spacing w:line="252" w:lineRule="auto"/>
        <w:rPr>
          <w:rFonts w:ascii="Arial"/>
          <w:sz w:val="21"/>
        </w:rPr>
      </w:pPr>
    </w:p>
    <w:p w14:paraId="6C72F035">
      <w:pPr>
        <w:spacing w:line="253" w:lineRule="auto"/>
        <w:rPr>
          <w:rFonts w:ascii="Arial"/>
          <w:sz w:val="21"/>
        </w:rPr>
      </w:pPr>
    </w:p>
    <w:p w14:paraId="6F3A6393">
      <w:pPr>
        <w:spacing w:before="85" w:line="219" w:lineRule="auto"/>
        <w:ind w:left="6283"/>
        <w:rPr>
          <w:rFonts w:ascii="宋体" w:hAnsi="宋体" w:eastAsia="宋体" w:cs="宋体"/>
          <w:sz w:val="26"/>
          <w:szCs w:val="26"/>
        </w:rPr>
      </w:pPr>
      <w:r>
        <w:rPr>
          <w:rFonts w:ascii="宋体" w:hAnsi="宋体" w:eastAsia="宋体" w:cs="宋体"/>
          <w:b/>
          <w:bCs/>
          <w:spacing w:val="-20"/>
          <w:sz w:val="26"/>
          <w:szCs w:val="26"/>
        </w:rPr>
        <w:t>图2</w:t>
      </w:r>
      <w:r>
        <w:rPr>
          <w:rFonts w:ascii="宋体" w:hAnsi="宋体" w:eastAsia="宋体" w:cs="宋体"/>
          <w:spacing w:val="-20"/>
          <w:sz w:val="26"/>
          <w:szCs w:val="26"/>
        </w:rPr>
        <w:t>-2</w:t>
      </w:r>
      <w:r>
        <w:rPr>
          <w:rFonts w:ascii="宋体" w:hAnsi="宋体" w:eastAsia="宋体" w:cs="宋体"/>
          <w:spacing w:val="101"/>
          <w:sz w:val="26"/>
          <w:szCs w:val="26"/>
        </w:rPr>
        <w:t xml:space="preserve"> </w:t>
      </w:r>
      <w:r>
        <w:rPr>
          <w:rFonts w:ascii="宋体" w:hAnsi="宋体" w:eastAsia="宋体" w:cs="宋体"/>
          <w:b/>
          <w:bCs/>
          <w:spacing w:val="-20"/>
          <w:sz w:val="26"/>
          <w:szCs w:val="26"/>
        </w:rPr>
        <w:t>石拐区水源地一级保护区调查结果图</w:t>
      </w:r>
    </w:p>
    <w:p w14:paraId="25D5343E">
      <w:pPr>
        <w:spacing w:line="454" w:lineRule="auto"/>
        <w:rPr>
          <w:rFonts w:ascii="Arial"/>
          <w:sz w:val="21"/>
        </w:rPr>
      </w:pPr>
    </w:p>
    <w:p w14:paraId="30A77EAA">
      <w:pPr>
        <w:spacing w:before="52" w:line="188" w:lineRule="auto"/>
        <w:ind w:left="8279"/>
        <w:rPr>
          <w:rFonts w:ascii="Times New Roman" w:hAnsi="Times New Roman" w:eastAsia="Times New Roman" w:cs="Times New Roman"/>
          <w:sz w:val="18"/>
          <w:szCs w:val="18"/>
        </w:rPr>
      </w:pPr>
      <w:r>
        <w:rPr>
          <w:rFonts w:ascii="Times New Roman" w:hAnsi="Times New Roman" w:eastAsia="Times New Roman" w:cs="Times New Roman"/>
          <w:color w:val="405050"/>
          <w:spacing w:val="-4"/>
          <w:sz w:val="18"/>
          <w:szCs w:val="18"/>
        </w:rPr>
        <w:t>1</w:t>
      </w:r>
      <w:r>
        <w:rPr>
          <w:rFonts w:ascii="Times New Roman" w:hAnsi="Times New Roman" w:eastAsia="Times New Roman" w:cs="Times New Roman"/>
          <w:spacing w:val="-4"/>
          <w:sz w:val="18"/>
          <w:szCs w:val="18"/>
        </w:rPr>
        <w:t>7</w:t>
      </w:r>
    </w:p>
    <w:p w14:paraId="3FA75318">
      <w:pPr>
        <w:spacing w:line="188" w:lineRule="auto"/>
        <w:rPr>
          <w:rFonts w:ascii="Times New Roman" w:hAnsi="Times New Roman" w:eastAsia="Times New Roman" w:cs="Times New Roman"/>
          <w:sz w:val="18"/>
          <w:szCs w:val="18"/>
        </w:rPr>
        <w:sectPr>
          <w:pgSz w:w="16850" w:h="11910"/>
          <w:pgMar w:top="0" w:right="0" w:bottom="400" w:left="0" w:header="0" w:footer="0" w:gutter="0"/>
          <w:cols w:space="720" w:num="1"/>
        </w:sectPr>
      </w:pPr>
    </w:p>
    <w:p w14:paraId="6A0E2F74">
      <w:pPr>
        <w:spacing w:before="49" w:line="360" w:lineRule="auto"/>
        <w:ind w:right="94"/>
        <w:rPr>
          <w:rFonts w:ascii="宋体" w:hAnsi="宋体" w:eastAsia="宋体" w:cs="宋体"/>
          <w:sz w:val="24"/>
          <w:szCs w:val="24"/>
        </w:rPr>
      </w:pPr>
      <w:r>
        <w:rPr>
          <w:rFonts w:ascii="宋体" w:hAnsi="宋体" w:eastAsia="宋体" w:cs="宋体"/>
          <w:spacing w:val="-2"/>
          <w:sz w:val="24"/>
          <w:szCs w:val="24"/>
        </w:rPr>
        <w:t>是污染地下水的主要途径。农田水中可溶性和不可溶性的农药、化肥和村庄</w:t>
      </w:r>
      <w:r>
        <w:rPr>
          <w:rFonts w:ascii="宋体" w:hAnsi="宋体" w:eastAsia="宋体" w:cs="宋体"/>
          <w:spacing w:val="-3"/>
          <w:sz w:val="24"/>
          <w:szCs w:val="24"/>
        </w:rPr>
        <w:t>生活</w:t>
      </w:r>
      <w:r>
        <w:rPr>
          <w:rFonts w:ascii="宋体" w:hAnsi="宋体" w:eastAsia="宋体" w:cs="宋体"/>
          <w:sz w:val="24"/>
          <w:szCs w:val="24"/>
        </w:rPr>
        <w:t xml:space="preserve"> </w:t>
      </w:r>
      <w:r>
        <w:rPr>
          <w:rFonts w:ascii="宋体" w:hAnsi="宋体" w:eastAsia="宋体" w:cs="宋体"/>
          <w:spacing w:val="-1"/>
          <w:sz w:val="24"/>
          <w:szCs w:val="24"/>
        </w:rPr>
        <w:t>污水可通过雨水或农用灌溉汇入河流，影响饮用水水源地水质。</w:t>
      </w:r>
    </w:p>
    <w:p w14:paraId="2815C478">
      <w:pPr>
        <w:spacing w:before="4" w:line="356" w:lineRule="auto"/>
        <w:ind w:right="89" w:firstLine="489"/>
        <w:jc w:val="both"/>
        <w:rPr>
          <w:rFonts w:ascii="宋体" w:hAnsi="宋体" w:eastAsia="宋体" w:cs="宋体"/>
          <w:sz w:val="24"/>
          <w:szCs w:val="24"/>
        </w:rPr>
      </w:pPr>
      <w:r>
        <w:rPr>
          <w:rFonts w:ascii="宋体" w:hAnsi="宋体" w:eastAsia="宋体" w:cs="宋体"/>
          <w:spacing w:val="4"/>
          <w:sz w:val="24"/>
          <w:szCs w:val="24"/>
        </w:rPr>
        <w:t>根据《包头统计年鉴2017》,石拐区每亩耕地的化肥用量为27.24公斤，石</w:t>
      </w:r>
      <w:r>
        <w:rPr>
          <w:rFonts w:ascii="宋体" w:hAnsi="宋体" w:eastAsia="宋体" w:cs="宋体"/>
          <w:spacing w:val="13"/>
          <w:sz w:val="24"/>
          <w:szCs w:val="24"/>
        </w:rPr>
        <w:t xml:space="preserve"> </w:t>
      </w:r>
      <w:r>
        <w:rPr>
          <w:rFonts w:ascii="宋体" w:hAnsi="宋体" w:eastAsia="宋体" w:cs="宋体"/>
          <w:spacing w:val="5"/>
          <w:sz w:val="24"/>
          <w:szCs w:val="24"/>
        </w:rPr>
        <w:t>拐区域化肥消耗水平处于全国平均水平(21</w:t>
      </w:r>
      <w:r>
        <w:rPr>
          <w:rFonts w:ascii="宋体" w:hAnsi="宋体" w:eastAsia="宋体" w:cs="宋体"/>
          <w:spacing w:val="4"/>
          <w:sz w:val="24"/>
          <w:szCs w:val="24"/>
        </w:rPr>
        <w:t>.9公斤)左右，加之石拐区制定并逐</w:t>
      </w:r>
      <w:r>
        <w:rPr>
          <w:rFonts w:ascii="宋体" w:hAnsi="宋体" w:eastAsia="宋体" w:cs="宋体"/>
          <w:sz w:val="24"/>
          <w:szCs w:val="24"/>
        </w:rPr>
        <w:t xml:space="preserve"> </w:t>
      </w:r>
      <w:r>
        <w:rPr>
          <w:rFonts w:ascii="宋体" w:hAnsi="宋体" w:eastAsia="宋体" w:cs="宋体"/>
          <w:color w:val="606070"/>
          <w:spacing w:val="-2"/>
          <w:sz w:val="24"/>
          <w:szCs w:val="24"/>
        </w:rPr>
        <w:t>步实施辖区农业面源污染综合防治方案，</w:t>
      </w:r>
      <w:r>
        <w:rPr>
          <w:rFonts w:ascii="宋体" w:hAnsi="宋体" w:eastAsia="宋体" w:cs="宋体"/>
          <w:spacing w:val="-2"/>
          <w:sz w:val="24"/>
          <w:szCs w:val="24"/>
        </w:rPr>
        <w:t>实行测土配方施肥，逐</w:t>
      </w:r>
      <w:r>
        <w:rPr>
          <w:rFonts w:ascii="宋体" w:hAnsi="宋体" w:eastAsia="宋体" w:cs="宋体"/>
          <w:spacing w:val="-3"/>
          <w:sz w:val="24"/>
          <w:szCs w:val="24"/>
        </w:rPr>
        <w:t>步提高化肥的利</w:t>
      </w:r>
      <w:r>
        <w:rPr>
          <w:rFonts w:ascii="宋体" w:hAnsi="宋体" w:eastAsia="宋体" w:cs="宋体"/>
          <w:sz w:val="24"/>
          <w:szCs w:val="24"/>
        </w:rPr>
        <w:t xml:space="preserve"> </w:t>
      </w:r>
      <w:r>
        <w:rPr>
          <w:rFonts w:ascii="宋体" w:hAnsi="宋体" w:eastAsia="宋体" w:cs="宋体"/>
          <w:spacing w:val="-2"/>
          <w:sz w:val="24"/>
          <w:szCs w:val="24"/>
        </w:rPr>
        <w:t>用率，农业生产造成的污染处于逐步改善阶段。根据石拐区推广低毒、低残留农</w:t>
      </w:r>
      <w:r>
        <w:rPr>
          <w:rFonts w:ascii="宋体" w:hAnsi="宋体" w:eastAsia="宋体" w:cs="宋体"/>
          <w:spacing w:val="3"/>
          <w:sz w:val="24"/>
          <w:szCs w:val="24"/>
        </w:rPr>
        <w:t xml:space="preserve"> </w:t>
      </w:r>
      <w:r>
        <w:rPr>
          <w:rFonts w:ascii="宋体" w:hAnsi="宋体" w:eastAsia="宋体" w:cs="宋体"/>
          <w:spacing w:val="-2"/>
          <w:sz w:val="24"/>
          <w:szCs w:val="24"/>
        </w:rPr>
        <w:t>药、使用补助试点经验，逐步开展农作物病虫害绿色防控和统防统治。石拐</w:t>
      </w:r>
      <w:r>
        <w:rPr>
          <w:rFonts w:ascii="宋体" w:hAnsi="宋体" w:eastAsia="宋体" w:cs="宋体"/>
          <w:spacing w:val="-3"/>
          <w:sz w:val="24"/>
          <w:szCs w:val="24"/>
        </w:rPr>
        <w:t>区造</w:t>
      </w:r>
      <w:r>
        <w:rPr>
          <w:rFonts w:ascii="宋体" w:hAnsi="宋体" w:eastAsia="宋体" w:cs="宋体"/>
          <w:sz w:val="24"/>
          <w:szCs w:val="24"/>
        </w:rPr>
        <w:t xml:space="preserve"> 成的农药污染逐步得到控制，对水体的污染影响逐步降</w:t>
      </w:r>
      <w:r>
        <w:rPr>
          <w:rFonts w:ascii="宋体" w:hAnsi="宋体" w:eastAsia="宋体" w:cs="宋体"/>
          <w:spacing w:val="-1"/>
          <w:sz w:val="24"/>
          <w:szCs w:val="24"/>
        </w:rPr>
        <w:t>低。</w:t>
      </w:r>
    </w:p>
    <w:p w14:paraId="59BC225E">
      <w:pPr>
        <w:spacing w:before="41" w:line="355" w:lineRule="auto"/>
        <w:ind w:right="92" w:firstLine="489"/>
        <w:jc w:val="both"/>
        <w:rPr>
          <w:rFonts w:ascii="宋体" w:hAnsi="宋体" w:eastAsia="宋体" w:cs="宋体"/>
          <w:sz w:val="24"/>
          <w:szCs w:val="24"/>
        </w:rPr>
      </w:pPr>
      <w:r>
        <w:rPr>
          <w:rFonts w:ascii="宋体" w:hAnsi="宋体" w:eastAsia="宋体" w:cs="宋体"/>
          <w:spacing w:val="-3"/>
          <w:sz w:val="24"/>
          <w:szCs w:val="24"/>
        </w:rPr>
        <w:t>该区域内农村目前未采用污水集中处理措施，生活污水分散处理或用于灌溉</w:t>
      </w:r>
      <w:r>
        <w:rPr>
          <w:rFonts w:ascii="宋体" w:hAnsi="宋体" w:eastAsia="宋体" w:cs="宋体"/>
          <w:spacing w:val="16"/>
          <w:sz w:val="24"/>
          <w:szCs w:val="24"/>
        </w:rPr>
        <w:t xml:space="preserve"> </w:t>
      </w:r>
      <w:r>
        <w:rPr>
          <w:rFonts w:ascii="宋体" w:hAnsi="宋体" w:eastAsia="宋体" w:cs="宋体"/>
          <w:spacing w:val="-2"/>
          <w:sz w:val="24"/>
          <w:szCs w:val="24"/>
        </w:rPr>
        <w:t>喷洒。石拐区通过以城带村、以镇带村、联村合建、单村处理、单村收集储存等</w:t>
      </w:r>
      <w:r>
        <w:rPr>
          <w:rFonts w:ascii="宋体" w:hAnsi="宋体" w:eastAsia="宋体" w:cs="宋体"/>
          <w:sz w:val="24"/>
          <w:szCs w:val="24"/>
        </w:rPr>
        <w:t xml:space="preserve"> </w:t>
      </w:r>
      <w:r>
        <w:rPr>
          <w:rFonts w:ascii="宋体" w:hAnsi="宋体" w:eastAsia="宋体" w:cs="宋体"/>
          <w:spacing w:val="-2"/>
          <w:sz w:val="24"/>
          <w:szCs w:val="24"/>
        </w:rPr>
        <w:t>方式，因地制宜解决农村污水收集处理问题。以镇为单位，实行农村污水处理设</w:t>
      </w:r>
      <w:r>
        <w:rPr>
          <w:rFonts w:ascii="宋体" w:hAnsi="宋体" w:eastAsia="宋体" w:cs="宋体"/>
          <w:sz w:val="24"/>
          <w:szCs w:val="24"/>
        </w:rPr>
        <w:t xml:space="preserve"> </w:t>
      </w:r>
      <w:r>
        <w:rPr>
          <w:rFonts w:ascii="宋体" w:hAnsi="宋体" w:eastAsia="宋体" w:cs="宋体"/>
          <w:spacing w:val="-2"/>
          <w:sz w:val="24"/>
          <w:szCs w:val="24"/>
        </w:rPr>
        <w:t>施统一规划、统一建设、统一管理，</w:t>
      </w:r>
      <w:r>
        <w:rPr>
          <w:rFonts w:ascii="宋体" w:hAnsi="宋体" w:eastAsia="宋体" w:cs="宋体"/>
          <w:color w:val="606070"/>
          <w:spacing w:val="-2"/>
          <w:sz w:val="24"/>
          <w:szCs w:val="24"/>
        </w:rPr>
        <w:t>有条件的镇积极推进城镇污水处理设施</w:t>
      </w:r>
      <w:r>
        <w:rPr>
          <w:rFonts w:ascii="宋体" w:hAnsi="宋体" w:eastAsia="宋体" w:cs="宋体"/>
          <w:color w:val="606070"/>
          <w:spacing w:val="-3"/>
          <w:sz w:val="24"/>
          <w:szCs w:val="24"/>
        </w:rPr>
        <w:t>和服</w:t>
      </w:r>
      <w:r>
        <w:rPr>
          <w:rFonts w:ascii="宋体" w:hAnsi="宋体" w:eastAsia="宋体" w:cs="宋体"/>
          <w:color w:val="606070"/>
          <w:sz w:val="24"/>
          <w:szCs w:val="24"/>
        </w:rPr>
        <w:t xml:space="preserve"> </w:t>
      </w:r>
      <w:r>
        <w:rPr>
          <w:rFonts w:ascii="宋体" w:hAnsi="宋体" w:eastAsia="宋体" w:cs="宋体"/>
          <w:sz w:val="24"/>
          <w:szCs w:val="24"/>
        </w:rPr>
        <w:t>务向农村延伸。保护区范围内农药、化肥及生活污水使用、排放情况见表2-3。</w:t>
      </w:r>
    </w:p>
    <w:p w14:paraId="7795447C">
      <w:pPr>
        <w:spacing w:line="219" w:lineRule="auto"/>
        <w:ind w:left="1603"/>
        <w:rPr>
          <w:rFonts w:ascii="宋体" w:hAnsi="宋体" w:eastAsia="宋体" w:cs="宋体"/>
          <w:sz w:val="26"/>
          <w:szCs w:val="26"/>
        </w:rPr>
      </w:pPr>
      <w:r>
        <w:rPr>
          <w:rFonts w:ascii="宋体" w:hAnsi="宋体" w:eastAsia="宋体" w:cs="宋体"/>
          <w:b/>
          <w:bCs/>
          <w:spacing w:val="-19"/>
          <w:sz w:val="26"/>
          <w:szCs w:val="26"/>
        </w:rPr>
        <w:t>表2-3</w:t>
      </w:r>
      <w:r>
        <w:rPr>
          <w:rFonts w:ascii="宋体" w:hAnsi="宋体" w:eastAsia="宋体" w:cs="宋体"/>
          <w:spacing w:val="113"/>
          <w:sz w:val="26"/>
          <w:szCs w:val="26"/>
        </w:rPr>
        <w:t xml:space="preserve"> </w:t>
      </w:r>
      <w:r>
        <w:rPr>
          <w:rFonts w:ascii="宋体" w:hAnsi="宋体" w:eastAsia="宋体" w:cs="宋体"/>
          <w:b/>
          <w:bCs/>
          <w:spacing w:val="-19"/>
          <w:sz w:val="26"/>
          <w:szCs w:val="26"/>
        </w:rPr>
        <w:t>包头市石拐区集中式饮用水水源保护区范围内</w:t>
      </w:r>
    </w:p>
    <w:p w14:paraId="32B13D53">
      <w:pPr>
        <w:spacing w:before="179" w:line="219" w:lineRule="auto"/>
        <w:ind w:left="2033"/>
        <w:rPr>
          <w:rFonts w:ascii="宋体" w:hAnsi="宋体" w:eastAsia="宋体" w:cs="宋体"/>
          <w:sz w:val="24"/>
          <w:szCs w:val="24"/>
        </w:rPr>
      </w:pPr>
      <w:r>
        <w:rPr>
          <w:rFonts w:ascii="宋体" w:hAnsi="宋体" w:eastAsia="宋体" w:cs="宋体"/>
          <w:b/>
          <w:bCs/>
          <w:spacing w:val="-1"/>
          <w:sz w:val="24"/>
          <w:szCs w:val="24"/>
        </w:rPr>
        <w:t>农药、化肥及生活污水使用、排放情况一览表</w:t>
      </w:r>
    </w:p>
    <w:p w14:paraId="0C03216D">
      <w:pPr>
        <w:spacing w:line="95" w:lineRule="exact"/>
      </w:pPr>
    </w:p>
    <w:tbl>
      <w:tblPr>
        <w:tblStyle w:val="5"/>
        <w:tblW w:w="8320" w:type="dxa"/>
        <w:tblInd w:w="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1"/>
        <w:gridCol w:w="2777"/>
        <w:gridCol w:w="2772"/>
      </w:tblGrid>
      <w:tr w14:paraId="00700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771" w:type="dxa"/>
            <w:vAlign w:val="top"/>
          </w:tcPr>
          <w:p w14:paraId="522DA95B">
            <w:pPr>
              <w:pStyle w:val="6"/>
              <w:spacing w:before="111" w:line="219" w:lineRule="auto"/>
              <w:ind w:left="1128"/>
              <w:rPr>
                <w:sz w:val="25"/>
                <w:szCs w:val="25"/>
              </w:rPr>
            </w:pPr>
            <w:r>
              <w:rPr>
                <w:b/>
                <w:bCs/>
                <w:spacing w:val="4"/>
                <w:sz w:val="25"/>
                <w:szCs w:val="25"/>
              </w:rPr>
              <w:t>类别</w:t>
            </w:r>
          </w:p>
        </w:tc>
        <w:tc>
          <w:tcPr>
            <w:tcW w:w="2777" w:type="dxa"/>
            <w:vAlign w:val="top"/>
          </w:tcPr>
          <w:p w14:paraId="26262783">
            <w:pPr>
              <w:pStyle w:val="6"/>
              <w:spacing w:before="111" w:line="219" w:lineRule="auto"/>
              <w:ind w:left="697"/>
              <w:rPr>
                <w:sz w:val="25"/>
                <w:szCs w:val="25"/>
              </w:rPr>
            </w:pPr>
            <w:r>
              <w:rPr>
                <w:b/>
                <w:bCs/>
                <w:spacing w:val="-13"/>
                <w:sz w:val="25"/>
                <w:szCs w:val="25"/>
              </w:rPr>
              <w:t>使用量</w:t>
            </w:r>
            <w:r>
              <w:rPr>
                <w:b/>
                <w:bCs/>
                <w:color w:val="304040"/>
                <w:spacing w:val="-13"/>
                <w:sz w:val="25"/>
                <w:szCs w:val="25"/>
              </w:rPr>
              <w:t>(</w:t>
            </w:r>
            <w:r>
              <w:rPr>
                <w:color w:val="304040"/>
                <w:spacing w:val="-60"/>
                <w:sz w:val="25"/>
                <w:szCs w:val="25"/>
              </w:rPr>
              <w:t xml:space="preserve"> </w:t>
            </w:r>
            <w:r>
              <w:rPr>
                <w:b/>
                <w:bCs/>
                <w:spacing w:val="-13"/>
                <w:sz w:val="25"/>
                <w:szCs w:val="25"/>
              </w:rPr>
              <w:t>t/a)</w:t>
            </w:r>
          </w:p>
        </w:tc>
        <w:tc>
          <w:tcPr>
            <w:tcW w:w="2772" w:type="dxa"/>
            <w:vAlign w:val="top"/>
          </w:tcPr>
          <w:p w14:paraId="274AF2E8">
            <w:pPr>
              <w:pStyle w:val="6"/>
              <w:spacing w:before="113" w:line="221" w:lineRule="auto"/>
              <w:ind w:left="690"/>
              <w:rPr>
                <w:sz w:val="25"/>
                <w:szCs w:val="25"/>
              </w:rPr>
            </w:pPr>
            <w:r>
              <w:rPr>
                <w:b/>
                <w:bCs/>
                <w:color w:val="304040"/>
                <w:spacing w:val="-4"/>
                <w:sz w:val="25"/>
                <w:szCs w:val="25"/>
              </w:rPr>
              <w:t>排放量</w:t>
            </w:r>
            <w:r>
              <w:rPr>
                <w:b/>
                <w:bCs/>
                <w:color w:val="505060"/>
                <w:spacing w:val="-4"/>
                <w:sz w:val="25"/>
                <w:szCs w:val="25"/>
              </w:rPr>
              <w:t>(t/</w:t>
            </w:r>
            <w:r>
              <w:rPr>
                <w:b/>
                <w:bCs/>
                <w:spacing w:val="-4"/>
                <w:sz w:val="25"/>
                <w:szCs w:val="25"/>
              </w:rPr>
              <w:t>a)</w:t>
            </w:r>
          </w:p>
        </w:tc>
      </w:tr>
      <w:tr w14:paraId="45D1F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771" w:type="dxa"/>
            <w:vAlign w:val="top"/>
          </w:tcPr>
          <w:p w14:paraId="44D4DF5C">
            <w:pPr>
              <w:pStyle w:val="6"/>
              <w:spacing w:before="113" w:line="220" w:lineRule="auto"/>
              <w:ind w:left="1125"/>
              <w:rPr>
                <w:sz w:val="25"/>
                <w:szCs w:val="25"/>
              </w:rPr>
            </w:pPr>
            <w:r>
              <w:rPr>
                <w:spacing w:val="5"/>
                <w:sz w:val="25"/>
                <w:szCs w:val="25"/>
              </w:rPr>
              <w:t>农药</w:t>
            </w:r>
          </w:p>
        </w:tc>
        <w:tc>
          <w:tcPr>
            <w:tcW w:w="2777" w:type="dxa"/>
            <w:vAlign w:val="top"/>
          </w:tcPr>
          <w:p w14:paraId="38ED84D3">
            <w:pPr>
              <w:pStyle w:val="6"/>
              <w:spacing w:before="137" w:line="236" w:lineRule="auto"/>
              <w:ind w:left="1064"/>
              <w:rPr>
                <w:sz w:val="25"/>
                <w:szCs w:val="25"/>
              </w:rPr>
            </w:pPr>
            <w:r>
              <w:rPr>
                <w:spacing w:val="-2"/>
                <w:sz w:val="25"/>
                <w:szCs w:val="25"/>
              </w:rPr>
              <w:t>0.288</w:t>
            </w:r>
          </w:p>
        </w:tc>
        <w:tc>
          <w:tcPr>
            <w:tcW w:w="2772" w:type="dxa"/>
            <w:vAlign w:val="top"/>
          </w:tcPr>
          <w:p w14:paraId="02EDAE66">
            <w:pPr>
              <w:pStyle w:val="6"/>
              <w:spacing w:before="137" w:line="236" w:lineRule="auto"/>
              <w:ind w:left="1007"/>
              <w:rPr>
                <w:sz w:val="25"/>
                <w:szCs w:val="25"/>
              </w:rPr>
            </w:pPr>
            <w:r>
              <w:rPr>
                <w:spacing w:val="-2"/>
                <w:sz w:val="25"/>
                <w:szCs w:val="25"/>
              </w:rPr>
              <w:t>0.0086</w:t>
            </w:r>
          </w:p>
        </w:tc>
      </w:tr>
      <w:tr w14:paraId="33E07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771" w:type="dxa"/>
            <w:vAlign w:val="top"/>
          </w:tcPr>
          <w:p w14:paraId="130EFAB9">
            <w:pPr>
              <w:pStyle w:val="6"/>
              <w:spacing w:before="113" w:line="219" w:lineRule="auto"/>
              <w:ind w:left="1125"/>
              <w:rPr>
                <w:sz w:val="25"/>
                <w:szCs w:val="25"/>
              </w:rPr>
            </w:pPr>
            <w:r>
              <w:rPr>
                <w:spacing w:val="-3"/>
                <w:sz w:val="25"/>
                <w:szCs w:val="25"/>
              </w:rPr>
              <w:t>化肥</w:t>
            </w:r>
          </w:p>
        </w:tc>
        <w:tc>
          <w:tcPr>
            <w:tcW w:w="2777" w:type="dxa"/>
            <w:vAlign w:val="top"/>
          </w:tcPr>
          <w:p w14:paraId="099959A5">
            <w:pPr>
              <w:pStyle w:val="6"/>
              <w:spacing w:before="139" w:line="235" w:lineRule="auto"/>
              <w:ind w:left="1064"/>
              <w:rPr>
                <w:sz w:val="25"/>
                <w:szCs w:val="25"/>
              </w:rPr>
            </w:pPr>
            <w:r>
              <w:rPr>
                <w:spacing w:val="-2"/>
                <w:sz w:val="25"/>
                <w:szCs w:val="25"/>
              </w:rPr>
              <w:t>68.14</w:t>
            </w:r>
          </w:p>
        </w:tc>
        <w:tc>
          <w:tcPr>
            <w:tcW w:w="2772" w:type="dxa"/>
            <w:vAlign w:val="top"/>
          </w:tcPr>
          <w:p w14:paraId="2ADA07C6">
            <w:pPr>
              <w:pStyle w:val="6"/>
              <w:spacing w:before="139" w:line="235" w:lineRule="auto"/>
              <w:ind w:left="1007"/>
              <w:rPr>
                <w:sz w:val="25"/>
                <w:szCs w:val="25"/>
              </w:rPr>
            </w:pPr>
            <w:r>
              <w:rPr>
                <w:spacing w:val="-4"/>
                <w:sz w:val="25"/>
                <w:szCs w:val="25"/>
              </w:rPr>
              <w:t>1.3628</w:t>
            </w:r>
          </w:p>
        </w:tc>
      </w:tr>
      <w:tr w14:paraId="7BC66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771" w:type="dxa"/>
            <w:vAlign w:val="top"/>
          </w:tcPr>
          <w:p w14:paraId="64D4F3AD">
            <w:pPr>
              <w:pStyle w:val="6"/>
              <w:spacing w:before="117" w:line="219" w:lineRule="auto"/>
              <w:ind w:left="435"/>
              <w:rPr>
                <w:sz w:val="25"/>
                <w:szCs w:val="25"/>
              </w:rPr>
            </w:pPr>
            <w:r>
              <w:rPr>
                <w:spacing w:val="2"/>
                <w:sz w:val="25"/>
                <w:szCs w:val="25"/>
              </w:rPr>
              <w:t>地下水/生活污水</w:t>
            </w:r>
          </w:p>
        </w:tc>
        <w:tc>
          <w:tcPr>
            <w:tcW w:w="2777" w:type="dxa"/>
            <w:vAlign w:val="top"/>
          </w:tcPr>
          <w:p w14:paraId="6EFC0FDD">
            <w:pPr>
              <w:pStyle w:val="6"/>
              <w:spacing w:before="142" w:line="236" w:lineRule="auto"/>
              <w:ind w:left="1003"/>
              <w:rPr>
                <w:sz w:val="25"/>
                <w:szCs w:val="25"/>
              </w:rPr>
            </w:pPr>
            <w:r>
              <w:rPr>
                <w:spacing w:val="-4"/>
                <w:sz w:val="25"/>
                <w:szCs w:val="25"/>
              </w:rPr>
              <w:t>1138.8</w:t>
            </w:r>
          </w:p>
        </w:tc>
        <w:tc>
          <w:tcPr>
            <w:tcW w:w="2772" w:type="dxa"/>
            <w:vAlign w:val="top"/>
          </w:tcPr>
          <w:p w14:paraId="1E7FF9AE">
            <w:pPr>
              <w:pStyle w:val="6"/>
              <w:spacing w:before="142" w:line="236" w:lineRule="auto"/>
              <w:ind w:left="1007"/>
              <w:rPr>
                <w:sz w:val="25"/>
                <w:szCs w:val="25"/>
              </w:rPr>
            </w:pPr>
            <w:r>
              <w:rPr>
                <w:spacing w:val="-2"/>
                <w:sz w:val="25"/>
                <w:szCs w:val="25"/>
              </w:rPr>
              <w:t>911.04</w:t>
            </w:r>
          </w:p>
        </w:tc>
      </w:tr>
    </w:tbl>
    <w:p w14:paraId="37C63D00">
      <w:pPr>
        <w:spacing w:before="102" w:line="216" w:lineRule="auto"/>
        <w:ind w:left="489"/>
        <w:rPr>
          <w:rFonts w:ascii="宋体" w:hAnsi="宋体" w:eastAsia="宋体" w:cs="宋体"/>
          <w:sz w:val="24"/>
          <w:szCs w:val="24"/>
        </w:rPr>
      </w:pPr>
      <w:r>
        <w:rPr>
          <w:rFonts w:ascii="宋体" w:hAnsi="宋体" w:eastAsia="宋体" w:cs="宋体"/>
          <w:spacing w:val="5"/>
          <w:sz w:val="24"/>
          <w:szCs w:val="24"/>
        </w:rPr>
        <w:t>注：农药流失量按3%,化肥流失量按2%计算。</w:t>
      </w:r>
    </w:p>
    <w:p w14:paraId="63DD7531">
      <w:pPr>
        <w:spacing w:before="182" w:line="219" w:lineRule="auto"/>
        <w:ind w:left="489"/>
        <w:rPr>
          <w:rFonts w:ascii="宋体" w:hAnsi="宋体" w:eastAsia="宋体" w:cs="宋体"/>
          <w:sz w:val="24"/>
          <w:szCs w:val="24"/>
        </w:rPr>
      </w:pPr>
      <w:r>
        <w:rPr>
          <w:rFonts w:ascii="宋体" w:hAnsi="宋体" w:eastAsia="宋体" w:cs="宋体"/>
          <w:sz w:val="24"/>
          <w:szCs w:val="24"/>
        </w:rPr>
        <w:t>水源地一、二级保护区流动源及非点源调查结果图见图2-2和2-3。</w:t>
      </w:r>
    </w:p>
    <w:p w14:paraId="0BA4AFFB">
      <w:pPr>
        <w:spacing w:line="219" w:lineRule="auto"/>
        <w:rPr>
          <w:rFonts w:ascii="宋体" w:hAnsi="宋体" w:eastAsia="宋体" w:cs="宋体"/>
          <w:sz w:val="24"/>
          <w:szCs w:val="24"/>
        </w:rPr>
        <w:sectPr>
          <w:footerReference r:id="rId50" w:type="default"/>
          <w:pgSz w:w="11910" w:h="16850"/>
          <w:pgMar w:top="1340" w:right="1786" w:bottom="1555" w:left="1700" w:header="0" w:footer="1393" w:gutter="0"/>
          <w:cols w:space="720" w:num="1"/>
        </w:sectPr>
      </w:pPr>
    </w:p>
    <w:p w14:paraId="40BAF119">
      <w:pPr>
        <w:spacing w:line="22" w:lineRule="exact"/>
      </w:pPr>
    </w:p>
    <w:tbl>
      <w:tblPr>
        <w:tblStyle w:val="5"/>
        <w:tblW w:w="92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558"/>
        <w:gridCol w:w="989"/>
        <w:gridCol w:w="1968"/>
        <w:gridCol w:w="1009"/>
        <w:gridCol w:w="929"/>
        <w:gridCol w:w="2053"/>
      </w:tblGrid>
      <w:tr w14:paraId="26DD4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694" w:type="dxa"/>
            <w:vMerge w:val="restart"/>
            <w:tcBorders>
              <w:bottom w:val="nil"/>
            </w:tcBorders>
            <w:vAlign w:val="top"/>
          </w:tcPr>
          <w:p w14:paraId="2AE6B8DF">
            <w:pPr>
              <w:spacing w:line="249" w:lineRule="auto"/>
              <w:rPr>
                <w:rFonts w:ascii="Arial"/>
                <w:sz w:val="21"/>
              </w:rPr>
            </w:pPr>
          </w:p>
          <w:p w14:paraId="6455A05B">
            <w:pPr>
              <w:spacing w:line="250" w:lineRule="auto"/>
              <w:rPr>
                <w:rFonts w:ascii="Arial"/>
                <w:sz w:val="21"/>
              </w:rPr>
            </w:pPr>
          </w:p>
          <w:p w14:paraId="723B2FB9">
            <w:pPr>
              <w:spacing w:line="250" w:lineRule="auto"/>
              <w:rPr>
                <w:rFonts w:ascii="Arial"/>
                <w:sz w:val="21"/>
              </w:rPr>
            </w:pPr>
          </w:p>
          <w:p w14:paraId="5CD8DB8F">
            <w:pPr>
              <w:spacing w:line="250" w:lineRule="auto"/>
              <w:rPr>
                <w:rFonts w:ascii="Arial"/>
                <w:sz w:val="21"/>
              </w:rPr>
            </w:pPr>
          </w:p>
          <w:p w14:paraId="4054A0F4">
            <w:pPr>
              <w:spacing w:line="250" w:lineRule="auto"/>
              <w:rPr>
                <w:rFonts w:ascii="Arial"/>
                <w:sz w:val="21"/>
              </w:rPr>
            </w:pPr>
          </w:p>
          <w:p w14:paraId="22FB10F2">
            <w:pPr>
              <w:spacing w:line="250" w:lineRule="auto"/>
              <w:rPr>
                <w:rFonts w:ascii="Arial"/>
                <w:sz w:val="21"/>
              </w:rPr>
            </w:pPr>
          </w:p>
          <w:p w14:paraId="1039D015">
            <w:pPr>
              <w:spacing w:line="250" w:lineRule="auto"/>
              <w:rPr>
                <w:rFonts w:ascii="Arial"/>
                <w:sz w:val="21"/>
              </w:rPr>
            </w:pPr>
          </w:p>
          <w:p w14:paraId="6875578E">
            <w:pPr>
              <w:spacing w:line="250" w:lineRule="auto"/>
              <w:rPr>
                <w:rFonts w:ascii="Arial"/>
                <w:sz w:val="21"/>
              </w:rPr>
            </w:pPr>
          </w:p>
          <w:p w14:paraId="3AE4BB92">
            <w:pPr>
              <w:spacing w:line="250" w:lineRule="auto"/>
              <w:rPr>
                <w:rFonts w:ascii="Arial"/>
                <w:sz w:val="21"/>
              </w:rPr>
            </w:pPr>
          </w:p>
          <w:p w14:paraId="7F589DDE">
            <w:pPr>
              <w:spacing w:line="250" w:lineRule="auto"/>
              <w:rPr>
                <w:rFonts w:ascii="Arial"/>
                <w:sz w:val="21"/>
              </w:rPr>
            </w:pPr>
          </w:p>
          <w:p w14:paraId="1CB813B1">
            <w:pPr>
              <w:spacing w:line="250" w:lineRule="auto"/>
              <w:rPr>
                <w:rFonts w:ascii="Arial"/>
                <w:sz w:val="21"/>
              </w:rPr>
            </w:pPr>
          </w:p>
          <w:p w14:paraId="33B77EC7">
            <w:pPr>
              <w:spacing w:line="250" w:lineRule="auto"/>
              <w:rPr>
                <w:rFonts w:ascii="Arial"/>
                <w:sz w:val="21"/>
              </w:rPr>
            </w:pPr>
          </w:p>
          <w:p w14:paraId="02920863">
            <w:pPr>
              <w:spacing w:line="250" w:lineRule="auto"/>
              <w:rPr>
                <w:rFonts w:ascii="Arial"/>
                <w:sz w:val="21"/>
              </w:rPr>
            </w:pPr>
          </w:p>
          <w:p w14:paraId="4E3B9AFE">
            <w:pPr>
              <w:pStyle w:val="6"/>
              <w:spacing w:before="75" w:line="221" w:lineRule="auto"/>
              <w:ind w:left="108"/>
              <w:rPr>
                <w:sz w:val="23"/>
                <w:szCs w:val="23"/>
              </w:rPr>
            </w:pPr>
            <w:r>
              <w:rPr>
                <w:b/>
                <w:bCs/>
                <w:spacing w:val="9"/>
                <w:sz w:val="23"/>
                <w:szCs w:val="23"/>
              </w:rPr>
              <w:t>农田</w:t>
            </w:r>
          </w:p>
        </w:tc>
        <w:tc>
          <w:tcPr>
            <w:tcW w:w="1558" w:type="dxa"/>
            <w:vAlign w:val="top"/>
          </w:tcPr>
          <w:p w14:paraId="58DD1530">
            <w:pPr>
              <w:spacing w:line="441" w:lineRule="auto"/>
              <w:rPr>
                <w:rFonts w:ascii="Arial"/>
                <w:sz w:val="21"/>
              </w:rPr>
            </w:pPr>
          </w:p>
          <w:p w14:paraId="70A89070">
            <w:pPr>
              <w:pStyle w:val="6"/>
              <w:spacing w:before="74" w:line="223" w:lineRule="auto"/>
              <w:ind w:left="330"/>
              <w:rPr>
                <w:sz w:val="23"/>
                <w:szCs w:val="23"/>
              </w:rPr>
            </w:pPr>
            <w:r>
              <w:rPr>
                <w:sz w:val="23"/>
                <w:szCs w:val="23"/>
              </w:rPr>
              <w:t>NT</w:t>
            </w:r>
            <w:r>
              <w:rPr>
                <w:spacing w:val="-56"/>
                <w:sz w:val="23"/>
                <w:szCs w:val="23"/>
              </w:rPr>
              <w:t xml:space="preserve"> </w:t>
            </w:r>
            <w:r>
              <w:rPr>
                <w:spacing w:val="23"/>
                <w:sz w:val="23"/>
                <w:szCs w:val="23"/>
              </w:rPr>
              <w:t>-</w:t>
            </w:r>
            <w:r>
              <w:rPr>
                <w:spacing w:val="-36"/>
                <w:sz w:val="23"/>
                <w:szCs w:val="23"/>
              </w:rPr>
              <w:t xml:space="preserve"> </w:t>
            </w:r>
            <w:r>
              <w:rPr>
                <w:spacing w:val="23"/>
                <w:sz w:val="23"/>
                <w:szCs w:val="23"/>
              </w:rPr>
              <w:t>1西</w:t>
            </w:r>
          </w:p>
        </w:tc>
        <w:tc>
          <w:tcPr>
            <w:tcW w:w="989" w:type="dxa"/>
            <w:vMerge w:val="restart"/>
            <w:tcBorders>
              <w:bottom w:val="nil"/>
            </w:tcBorders>
            <w:vAlign w:val="top"/>
          </w:tcPr>
          <w:p w14:paraId="2BCB2D73">
            <w:pPr>
              <w:rPr>
                <w:rFonts w:ascii="Arial"/>
                <w:sz w:val="21"/>
              </w:rPr>
            </w:pPr>
          </w:p>
        </w:tc>
        <w:tc>
          <w:tcPr>
            <w:tcW w:w="1968" w:type="dxa"/>
            <w:vAlign w:val="top"/>
          </w:tcPr>
          <w:p w14:paraId="61901D9B">
            <w:pPr>
              <w:pStyle w:val="6"/>
              <w:spacing w:before="67" w:line="218" w:lineRule="auto"/>
              <w:ind w:left="94"/>
              <w:rPr>
                <w:sz w:val="23"/>
                <w:szCs w:val="23"/>
              </w:rPr>
            </w:pPr>
            <w:r>
              <w:rPr>
                <w:sz w:val="23"/>
                <w:szCs w:val="23"/>
              </w:rPr>
              <w:t>40°42'54.19"</w:t>
            </w:r>
          </w:p>
          <w:p w14:paraId="1DCF068B">
            <w:pPr>
              <w:pStyle w:val="6"/>
              <w:spacing w:before="1" w:line="222" w:lineRule="auto"/>
              <w:ind w:left="94"/>
              <w:rPr>
                <w:sz w:val="23"/>
                <w:szCs w:val="23"/>
              </w:rPr>
            </w:pPr>
            <w:r>
              <w:rPr>
                <w:sz w:val="23"/>
                <w:szCs w:val="23"/>
              </w:rPr>
              <w:t>北</w:t>
            </w:r>
          </w:p>
          <w:p w14:paraId="1E543D67">
            <w:pPr>
              <w:pStyle w:val="6"/>
              <w:spacing w:before="80" w:line="217" w:lineRule="auto"/>
              <w:ind w:left="94" w:right="269" w:firstLine="10"/>
              <w:rPr>
                <w:sz w:val="23"/>
                <w:szCs w:val="23"/>
              </w:rPr>
            </w:pPr>
            <w:r>
              <w:rPr>
                <w:spacing w:val="-2"/>
                <w:sz w:val="23"/>
                <w:szCs w:val="23"/>
              </w:rPr>
              <w:t>110°15'27.38"</w:t>
            </w:r>
            <w:r>
              <w:rPr>
                <w:sz w:val="23"/>
                <w:szCs w:val="23"/>
              </w:rPr>
              <w:t xml:space="preserve"> 东</w:t>
            </w:r>
          </w:p>
        </w:tc>
        <w:tc>
          <w:tcPr>
            <w:tcW w:w="1009" w:type="dxa"/>
            <w:vAlign w:val="top"/>
          </w:tcPr>
          <w:p w14:paraId="34620DB9">
            <w:pPr>
              <w:spacing w:line="459" w:lineRule="auto"/>
              <w:rPr>
                <w:rFonts w:ascii="Arial"/>
                <w:sz w:val="21"/>
              </w:rPr>
            </w:pPr>
          </w:p>
          <w:p w14:paraId="5204954F">
            <w:pPr>
              <w:pStyle w:val="6"/>
              <w:spacing w:before="74"/>
              <w:ind w:left="266"/>
              <w:rPr>
                <w:sz w:val="23"/>
                <w:szCs w:val="23"/>
              </w:rPr>
            </w:pPr>
            <w:r>
              <w:rPr>
                <w:spacing w:val="-1"/>
                <w:sz w:val="23"/>
                <w:szCs w:val="23"/>
              </w:rPr>
              <w:t>NT-3</w:t>
            </w:r>
          </w:p>
        </w:tc>
        <w:tc>
          <w:tcPr>
            <w:tcW w:w="929" w:type="dxa"/>
            <w:vAlign w:val="top"/>
          </w:tcPr>
          <w:p w14:paraId="0519EB95">
            <w:pPr>
              <w:spacing w:line="459" w:lineRule="auto"/>
              <w:rPr>
                <w:rFonts w:ascii="Arial"/>
                <w:sz w:val="21"/>
              </w:rPr>
            </w:pPr>
          </w:p>
          <w:p w14:paraId="778BE75C">
            <w:pPr>
              <w:pStyle w:val="6"/>
              <w:spacing w:before="75" w:line="239" w:lineRule="auto"/>
              <w:ind w:left="117"/>
              <w:rPr>
                <w:sz w:val="23"/>
                <w:szCs w:val="23"/>
              </w:rPr>
            </w:pPr>
            <w:r>
              <w:rPr>
                <w:spacing w:val="-2"/>
                <w:sz w:val="23"/>
                <w:szCs w:val="23"/>
              </w:rPr>
              <w:t>256.29</w:t>
            </w:r>
          </w:p>
        </w:tc>
        <w:tc>
          <w:tcPr>
            <w:tcW w:w="2053" w:type="dxa"/>
            <w:vMerge w:val="restart"/>
            <w:tcBorders>
              <w:bottom w:val="nil"/>
            </w:tcBorders>
            <w:vAlign w:val="top"/>
          </w:tcPr>
          <w:p w14:paraId="497F1B2C">
            <w:pPr>
              <w:rPr>
                <w:rFonts w:ascii="Arial"/>
                <w:sz w:val="21"/>
              </w:rPr>
            </w:pPr>
          </w:p>
        </w:tc>
      </w:tr>
      <w:tr w14:paraId="103A9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94" w:type="dxa"/>
            <w:vMerge w:val="continue"/>
            <w:tcBorders>
              <w:top w:val="nil"/>
              <w:bottom w:val="nil"/>
            </w:tcBorders>
            <w:vAlign w:val="top"/>
          </w:tcPr>
          <w:p w14:paraId="5786D905">
            <w:pPr>
              <w:rPr>
                <w:rFonts w:ascii="Arial"/>
                <w:sz w:val="21"/>
              </w:rPr>
            </w:pPr>
          </w:p>
        </w:tc>
        <w:tc>
          <w:tcPr>
            <w:tcW w:w="1558" w:type="dxa"/>
            <w:vAlign w:val="top"/>
          </w:tcPr>
          <w:p w14:paraId="7776573C">
            <w:pPr>
              <w:spacing w:line="278" w:lineRule="auto"/>
              <w:rPr>
                <w:rFonts w:ascii="Arial"/>
                <w:sz w:val="21"/>
              </w:rPr>
            </w:pPr>
          </w:p>
          <w:p w14:paraId="78F958E9">
            <w:pPr>
              <w:pStyle w:val="6"/>
              <w:spacing w:before="75" w:line="223" w:lineRule="auto"/>
              <w:ind w:left="330"/>
              <w:rPr>
                <w:sz w:val="23"/>
                <w:szCs w:val="23"/>
              </w:rPr>
            </w:pPr>
            <w:r>
              <w:rPr>
                <w:sz w:val="23"/>
                <w:szCs w:val="23"/>
              </w:rPr>
              <w:t>NT</w:t>
            </w:r>
            <w:r>
              <w:rPr>
                <w:spacing w:val="-57"/>
                <w:sz w:val="23"/>
                <w:szCs w:val="23"/>
              </w:rPr>
              <w:t xml:space="preserve"> </w:t>
            </w:r>
            <w:r>
              <w:rPr>
                <w:spacing w:val="26"/>
                <w:sz w:val="23"/>
                <w:szCs w:val="23"/>
              </w:rPr>
              <w:t>-</w:t>
            </w:r>
            <w:r>
              <w:rPr>
                <w:spacing w:val="-51"/>
                <w:sz w:val="23"/>
                <w:szCs w:val="23"/>
              </w:rPr>
              <w:t xml:space="preserve"> </w:t>
            </w:r>
            <w:r>
              <w:rPr>
                <w:spacing w:val="26"/>
                <w:sz w:val="23"/>
                <w:szCs w:val="23"/>
              </w:rPr>
              <w:t>3北</w:t>
            </w:r>
          </w:p>
        </w:tc>
        <w:tc>
          <w:tcPr>
            <w:tcW w:w="989" w:type="dxa"/>
            <w:vMerge w:val="continue"/>
            <w:tcBorders>
              <w:top w:val="nil"/>
              <w:bottom w:val="nil"/>
            </w:tcBorders>
            <w:vAlign w:val="top"/>
          </w:tcPr>
          <w:p w14:paraId="5D927562">
            <w:pPr>
              <w:rPr>
                <w:rFonts w:ascii="Arial"/>
                <w:sz w:val="21"/>
              </w:rPr>
            </w:pPr>
          </w:p>
        </w:tc>
        <w:tc>
          <w:tcPr>
            <w:tcW w:w="1968" w:type="dxa"/>
            <w:vAlign w:val="top"/>
          </w:tcPr>
          <w:p w14:paraId="540BD9DB">
            <w:pPr>
              <w:pStyle w:val="6"/>
              <w:spacing w:before="55" w:line="231" w:lineRule="auto"/>
              <w:ind w:left="94" w:right="262"/>
              <w:jc w:val="both"/>
              <w:rPr>
                <w:sz w:val="23"/>
                <w:szCs w:val="23"/>
              </w:rPr>
            </w:pPr>
            <w:r>
              <w:rPr>
                <w:spacing w:val="-1"/>
                <w:sz w:val="23"/>
                <w:szCs w:val="23"/>
              </w:rPr>
              <w:t>40°43'6.65"北</w:t>
            </w:r>
            <w:r>
              <w:rPr>
                <w:spacing w:val="2"/>
                <w:sz w:val="23"/>
                <w:szCs w:val="23"/>
              </w:rPr>
              <w:t xml:space="preserve"> </w:t>
            </w:r>
            <w:r>
              <w:rPr>
                <w:spacing w:val="-2"/>
                <w:sz w:val="23"/>
                <w:szCs w:val="23"/>
              </w:rPr>
              <w:t>110°15'21.57"</w:t>
            </w:r>
            <w:r>
              <w:rPr>
                <w:spacing w:val="9"/>
                <w:sz w:val="23"/>
                <w:szCs w:val="23"/>
              </w:rPr>
              <w:t xml:space="preserve"> </w:t>
            </w:r>
            <w:r>
              <w:rPr>
                <w:sz w:val="23"/>
                <w:szCs w:val="23"/>
              </w:rPr>
              <w:t>东</w:t>
            </w:r>
          </w:p>
        </w:tc>
        <w:tc>
          <w:tcPr>
            <w:tcW w:w="1009" w:type="dxa"/>
            <w:vAlign w:val="top"/>
          </w:tcPr>
          <w:p w14:paraId="7B89D3C5">
            <w:pPr>
              <w:spacing w:line="296" w:lineRule="auto"/>
              <w:rPr>
                <w:rFonts w:ascii="Arial"/>
                <w:sz w:val="21"/>
              </w:rPr>
            </w:pPr>
          </w:p>
          <w:p w14:paraId="64A8BF29">
            <w:pPr>
              <w:pStyle w:val="6"/>
              <w:spacing w:before="75" w:line="241" w:lineRule="auto"/>
              <w:ind w:left="266"/>
              <w:rPr>
                <w:sz w:val="23"/>
                <w:szCs w:val="23"/>
              </w:rPr>
            </w:pPr>
            <w:r>
              <w:rPr>
                <w:spacing w:val="-1"/>
                <w:sz w:val="23"/>
                <w:szCs w:val="23"/>
              </w:rPr>
              <w:t>NT-4</w:t>
            </w:r>
          </w:p>
        </w:tc>
        <w:tc>
          <w:tcPr>
            <w:tcW w:w="929" w:type="dxa"/>
            <w:vAlign w:val="top"/>
          </w:tcPr>
          <w:p w14:paraId="5E833C5E">
            <w:pPr>
              <w:spacing w:line="296" w:lineRule="auto"/>
              <w:rPr>
                <w:rFonts w:ascii="Arial"/>
                <w:sz w:val="21"/>
              </w:rPr>
            </w:pPr>
          </w:p>
          <w:p w14:paraId="6DE91C4C">
            <w:pPr>
              <w:pStyle w:val="6"/>
              <w:spacing w:before="75" w:line="239" w:lineRule="auto"/>
              <w:ind w:left="117"/>
              <w:rPr>
                <w:sz w:val="23"/>
                <w:szCs w:val="23"/>
              </w:rPr>
            </w:pPr>
            <w:r>
              <w:rPr>
                <w:spacing w:val="-2"/>
                <w:sz w:val="23"/>
                <w:szCs w:val="23"/>
              </w:rPr>
              <w:t>335.31</w:t>
            </w:r>
          </w:p>
        </w:tc>
        <w:tc>
          <w:tcPr>
            <w:tcW w:w="2053" w:type="dxa"/>
            <w:vMerge w:val="continue"/>
            <w:tcBorders>
              <w:top w:val="nil"/>
              <w:bottom w:val="nil"/>
            </w:tcBorders>
            <w:vAlign w:val="top"/>
          </w:tcPr>
          <w:p w14:paraId="46FD9C47">
            <w:pPr>
              <w:rPr>
                <w:rFonts w:ascii="Arial"/>
                <w:sz w:val="21"/>
              </w:rPr>
            </w:pPr>
          </w:p>
        </w:tc>
      </w:tr>
      <w:tr w14:paraId="388D9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694" w:type="dxa"/>
            <w:vMerge w:val="continue"/>
            <w:tcBorders>
              <w:top w:val="nil"/>
              <w:bottom w:val="nil"/>
            </w:tcBorders>
            <w:vAlign w:val="top"/>
          </w:tcPr>
          <w:p w14:paraId="064059A1">
            <w:pPr>
              <w:rPr>
                <w:rFonts w:ascii="Arial"/>
                <w:sz w:val="21"/>
              </w:rPr>
            </w:pPr>
          </w:p>
        </w:tc>
        <w:tc>
          <w:tcPr>
            <w:tcW w:w="1558" w:type="dxa"/>
            <w:vAlign w:val="top"/>
          </w:tcPr>
          <w:p w14:paraId="4C0E69C0">
            <w:pPr>
              <w:spacing w:line="285" w:lineRule="auto"/>
              <w:rPr>
                <w:rFonts w:ascii="Arial"/>
                <w:sz w:val="21"/>
              </w:rPr>
            </w:pPr>
          </w:p>
          <w:p w14:paraId="147BFD21">
            <w:pPr>
              <w:pStyle w:val="6"/>
              <w:spacing w:before="74" w:line="219" w:lineRule="auto"/>
              <w:ind w:left="310"/>
              <w:rPr>
                <w:sz w:val="23"/>
                <w:szCs w:val="23"/>
              </w:rPr>
            </w:pPr>
            <w:r>
              <w:rPr>
                <w:color w:val="307060"/>
                <w:spacing w:val="1"/>
                <w:sz w:val="23"/>
                <w:szCs w:val="23"/>
              </w:rPr>
              <w:t>1#水源井</w:t>
            </w:r>
          </w:p>
          <w:p w14:paraId="62A21744">
            <w:pPr>
              <w:pStyle w:val="6"/>
              <w:spacing w:before="37" w:line="219" w:lineRule="auto"/>
              <w:ind w:left="541"/>
              <w:rPr>
                <w:sz w:val="23"/>
                <w:szCs w:val="23"/>
              </w:rPr>
            </w:pPr>
            <w:r>
              <w:rPr>
                <w:spacing w:val="5"/>
                <w:sz w:val="23"/>
                <w:szCs w:val="23"/>
              </w:rPr>
              <w:t>东北</w:t>
            </w:r>
          </w:p>
        </w:tc>
        <w:tc>
          <w:tcPr>
            <w:tcW w:w="989" w:type="dxa"/>
            <w:vMerge w:val="continue"/>
            <w:tcBorders>
              <w:top w:val="nil"/>
              <w:bottom w:val="nil"/>
            </w:tcBorders>
            <w:vAlign w:val="top"/>
          </w:tcPr>
          <w:p w14:paraId="5243DCC0">
            <w:pPr>
              <w:rPr>
                <w:rFonts w:ascii="Arial"/>
                <w:sz w:val="21"/>
              </w:rPr>
            </w:pPr>
          </w:p>
        </w:tc>
        <w:tc>
          <w:tcPr>
            <w:tcW w:w="1968" w:type="dxa"/>
            <w:vAlign w:val="top"/>
          </w:tcPr>
          <w:p w14:paraId="1A244575">
            <w:pPr>
              <w:pStyle w:val="6"/>
              <w:spacing w:before="64" w:line="234" w:lineRule="auto"/>
              <w:ind w:left="94"/>
              <w:rPr>
                <w:sz w:val="23"/>
                <w:szCs w:val="23"/>
              </w:rPr>
            </w:pPr>
            <w:r>
              <w:rPr>
                <w:spacing w:val="-1"/>
                <w:sz w:val="23"/>
                <w:szCs w:val="23"/>
              </w:rPr>
              <w:t>40°43'11.07"</w:t>
            </w:r>
          </w:p>
          <w:p w14:paraId="2BBB2896">
            <w:pPr>
              <w:pStyle w:val="6"/>
              <w:spacing w:before="1" w:line="222" w:lineRule="auto"/>
              <w:ind w:left="94"/>
              <w:rPr>
                <w:sz w:val="23"/>
                <w:szCs w:val="23"/>
              </w:rPr>
            </w:pPr>
            <w:r>
              <w:rPr>
                <w:color w:val="204040"/>
                <w:sz w:val="23"/>
                <w:szCs w:val="23"/>
              </w:rPr>
              <w:t>北</w:t>
            </w:r>
          </w:p>
          <w:p w14:paraId="33C2C2E2">
            <w:pPr>
              <w:pStyle w:val="6"/>
              <w:spacing w:before="49" w:line="223" w:lineRule="auto"/>
              <w:ind w:left="94" w:right="279"/>
              <w:rPr>
                <w:sz w:val="23"/>
                <w:szCs w:val="23"/>
              </w:rPr>
            </w:pPr>
            <w:r>
              <w:rPr>
                <w:spacing w:val="-2"/>
                <w:sz w:val="23"/>
                <w:szCs w:val="23"/>
              </w:rPr>
              <w:t>110°15'38.17"</w:t>
            </w:r>
            <w:r>
              <w:rPr>
                <w:sz w:val="23"/>
                <w:szCs w:val="23"/>
              </w:rPr>
              <w:t xml:space="preserve"> 东</w:t>
            </w:r>
          </w:p>
        </w:tc>
        <w:tc>
          <w:tcPr>
            <w:tcW w:w="1009" w:type="dxa"/>
            <w:vAlign w:val="top"/>
          </w:tcPr>
          <w:p w14:paraId="47829431">
            <w:pPr>
              <w:spacing w:line="456" w:lineRule="auto"/>
              <w:rPr>
                <w:rFonts w:ascii="Arial"/>
                <w:sz w:val="21"/>
              </w:rPr>
            </w:pPr>
          </w:p>
          <w:p w14:paraId="3396F2C0">
            <w:pPr>
              <w:pStyle w:val="6"/>
              <w:spacing w:before="75"/>
              <w:ind w:left="266"/>
              <w:rPr>
                <w:sz w:val="23"/>
                <w:szCs w:val="23"/>
              </w:rPr>
            </w:pPr>
            <w:r>
              <w:rPr>
                <w:spacing w:val="-1"/>
                <w:sz w:val="23"/>
                <w:szCs w:val="23"/>
              </w:rPr>
              <w:t>NT-5</w:t>
            </w:r>
          </w:p>
        </w:tc>
        <w:tc>
          <w:tcPr>
            <w:tcW w:w="929" w:type="dxa"/>
            <w:vAlign w:val="top"/>
          </w:tcPr>
          <w:p w14:paraId="37AF2956">
            <w:pPr>
              <w:spacing w:line="456" w:lineRule="auto"/>
              <w:rPr>
                <w:rFonts w:ascii="Arial"/>
                <w:sz w:val="21"/>
              </w:rPr>
            </w:pPr>
          </w:p>
          <w:p w14:paraId="3C868BB1">
            <w:pPr>
              <w:pStyle w:val="6"/>
              <w:spacing w:before="75" w:line="239" w:lineRule="auto"/>
              <w:ind w:left="226"/>
              <w:rPr>
                <w:sz w:val="23"/>
                <w:szCs w:val="23"/>
              </w:rPr>
            </w:pPr>
            <w:r>
              <w:rPr>
                <w:spacing w:val="-5"/>
                <w:sz w:val="23"/>
                <w:szCs w:val="23"/>
              </w:rPr>
              <w:t>1.72</w:t>
            </w:r>
          </w:p>
        </w:tc>
        <w:tc>
          <w:tcPr>
            <w:tcW w:w="2053" w:type="dxa"/>
            <w:vMerge w:val="continue"/>
            <w:tcBorders>
              <w:top w:val="nil"/>
              <w:bottom w:val="nil"/>
            </w:tcBorders>
            <w:vAlign w:val="top"/>
          </w:tcPr>
          <w:p w14:paraId="51020959">
            <w:pPr>
              <w:rPr>
                <w:rFonts w:ascii="Arial"/>
                <w:sz w:val="21"/>
              </w:rPr>
            </w:pPr>
          </w:p>
        </w:tc>
      </w:tr>
      <w:tr w14:paraId="3AC84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694" w:type="dxa"/>
            <w:vMerge w:val="continue"/>
            <w:tcBorders>
              <w:top w:val="nil"/>
              <w:bottom w:val="nil"/>
            </w:tcBorders>
            <w:vAlign w:val="top"/>
          </w:tcPr>
          <w:p w14:paraId="2B400974">
            <w:pPr>
              <w:rPr>
                <w:rFonts w:ascii="Arial"/>
                <w:sz w:val="21"/>
              </w:rPr>
            </w:pPr>
          </w:p>
        </w:tc>
        <w:tc>
          <w:tcPr>
            <w:tcW w:w="1558" w:type="dxa"/>
            <w:vAlign w:val="top"/>
          </w:tcPr>
          <w:p w14:paraId="318ACCCD">
            <w:pPr>
              <w:spacing w:line="435" w:lineRule="auto"/>
              <w:rPr>
                <w:rFonts w:ascii="Arial"/>
                <w:sz w:val="21"/>
              </w:rPr>
            </w:pPr>
          </w:p>
          <w:p w14:paraId="2B5EFDBD">
            <w:pPr>
              <w:pStyle w:val="6"/>
              <w:spacing w:before="74" w:line="219" w:lineRule="auto"/>
              <w:ind w:left="310"/>
              <w:rPr>
                <w:sz w:val="23"/>
                <w:szCs w:val="23"/>
              </w:rPr>
            </w:pPr>
            <w:r>
              <w:rPr>
                <w:spacing w:val="-1"/>
                <w:sz w:val="23"/>
                <w:szCs w:val="23"/>
              </w:rPr>
              <w:t>NT-4东北</w:t>
            </w:r>
          </w:p>
        </w:tc>
        <w:tc>
          <w:tcPr>
            <w:tcW w:w="989" w:type="dxa"/>
            <w:vMerge w:val="continue"/>
            <w:tcBorders>
              <w:top w:val="nil"/>
              <w:bottom w:val="nil"/>
            </w:tcBorders>
            <w:vAlign w:val="top"/>
          </w:tcPr>
          <w:p w14:paraId="3B2E5914">
            <w:pPr>
              <w:rPr>
                <w:rFonts w:ascii="Arial"/>
                <w:sz w:val="21"/>
              </w:rPr>
            </w:pPr>
          </w:p>
        </w:tc>
        <w:tc>
          <w:tcPr>
            <w:tcW w:w="1968" w:type="dxa"/>
            <w:vAlign w:val="top"/>
          </w:tcPr>
          <w:p w14:paraId="68441F71">
            <w:pPr>
              <w:pStyle w:val="6"/>
              <w:spacing w:before="54" w:line="238" w:lineRule="auto"/>
              <w:ind w:left="94" w:right="377"/>
              <w:rPr>
                <w:sz w:val="23"/>
                <w:szCs w:val="23"/>
              </w:rPr>
            </w:pPr>
            <w:r>
              <w:rPr>
                <w:spacing w:val="-1"/>
                <w:sz w:val="23"/>
                <w:szCs w:val="23"/>
              </w:rPr>
              <w:t>40°43'44.91"</w:t>
            </w:r>
            <w:r>
              <w:rPr>
                <w:spacing w:val="2"/>
                <w:sz w:val="23"/>
                <w:szCs w:val="23"/>
              </w:rPr>
              <w:t xml:space="preserve"> </w:t>
            </w:r>
            <w:r>
              <w:rPr>
                <w:sz w:val="23"/>
                <w:szCs w:val="23"/>
              </w:rPr>
              <w:t>北</w:t>
            </w:r>
          </w:p>
          <w:p w14:paraId="3F6C7BDF">
            <w:pPr>
              <w:pStyle w:val="6"/>
              <w:spacing w:before="47" w:line="214" w:lineRule="auto"/>
              <w:ind w:left="104"/>
              <w:rPr>
                <w:sz w:val="23"/>
                <w:szCs w:val="23"/>
              </w:rPr>
            </w:pPr>
            <w:r>
              <w:rPr>
                <w:spacing w:val="-2"/>
                <w:sz w:val="23"/>
                <w:szCs w:val="23"/>
              </w:rPr>
              <w:t>110°15'24.15"</w:t>
            </w:r>
          </w:p>
          <w:p w14:paraId="2BD13273">
            <w:pPr>
              <w:pStyle w:val="6"/>
              <w:spacing w:line="214" w:lineRule="auto"/>
              <w:ind w:left="94"/>
              <w:rPr>
                <w:sz w:val="23"/>
                <w:szCs w:val="23"/>
              </w:rPr>
            </w:pPr>
            <w:r>
              <w:rPr>
                <w:sz w:val="23"/>
                <w:szCs w:val="23"/>
              </w:rPr>
              <w:t>东</w:t>
            </w:r>
          </w:p>
        </w:tc>
        <w:tc>
          <w:tcPr>
            <w:tcW w:w="1009" w:type="dxa"/>
            <w:vAlign w:val="top"/>
          </w:tcPr>
          <w:p w14:paraId="4B28B796">
            <w:pPr>
              <w:spacing w:line="457" w:lineRule="auto"/>
              <w:rPr>
                <w:rFonts w:ascii="Arial"/>
                <w:sz w:val="21"/>
              </w:rPr>
            </w:pPr>
          </w:p>
          <w:p w14:paraId="5DAB2F09">
            <w:pPr>
              <w:pStyle w:val="6"/>
              <w:spacing w:before="75"/>
              <w:ind w:left="155"/>
              <w:rPr>
                <w:sz w:val="23"/>
                <w:szCs w:val="23"/>
              </w:rPr>
            </w:pPr>
            <w:r>
              <w:rPr>
                <w:spacing w:val="-1"/>
                <w:sz w:val="23"/>
                <w:szCs w:val="23"/>
              </w:rPr>
              <w:t>NT-6-2</w:t>
            </w:r>
          </w:p>
        </w:tc>
        <w:tc>
          <w:tcPr>
            <w:tcW w:w="929" w:type="dxa"/>
            <w:vAlign w:val="top"/>
          </w:tcPr>
          <w:p w14:paraId="6EF1CC2B">
            <w:pPr>
              <w:spacing w:line="318" w:lineRule="auto"/>
              <w:rPr>
                <w:rFonts w:ascii="Arial"/>
                <w:sz w:val="21"/>
              </w:rPr>
            </w:pPr>
          </w:p>
          <w:p w14:paraId="2EA27A1D">
            <w:pPr>
              <w:pStyle w:val="6"/>
              <w:spacing w:before="75" w:line="233" w:lineRule="auto"/>
              <w:ind w:left="117"/>
              <w:rPr>
                <w:sz w:val="23"/>
                <w:szCs w:val="23"/>
              </w:rPr>
            </w:pPr>
            <w:r>
              <w:rPr>
                <w:spacing w:val="-4"/>
                <w:sz w:val="23"/>
                <w:szCs w:val="23"/>
              </w:rPr>
              <w:t>1074.4</w:t>
            </w:r>
          </w:p>
          <w:p w14:paraId="5FBD01C8">
            <w:pPr>
              <w:pStyle w:val="6"/>
              <w:spacing w:line="239" w:lineRule="auto"/>
              <w:ind w:left="397"/>
              <w:rPr>
                <w:sz w:val="23"/>
                <w:szCs w:val="23"/>
              </w:rPr>
            </w:pPr>
            <w:r>
              <w:rPr>
                <w:sz w:val="23"/>
                <w:szCs w:val="23"/>
              </w:rPr>
              <w:t>3</w:t>
            </w:r>
          </w:p>
        </w:tc>
        <w:tc>
          <w:tcPr>
            <w:tcW w:w="2053" w:type="dxa"/>
            <w:vMerge w:val="continue"/>
            <w:tcBorders>
              <w:top w:val="nil"/>
              <w:bottom w:val="nil"/>
            </w:tcBorders>
            <w:vAlign w:val="top"/>
          </w:tcPr>
          <w:p w14:paraId="15565498">
            <w:pPr>
              <w:rPr>
                <w:rFonts w:ascii="Arial"/>
                <w:sz w:val="21"/>
              </w:rPr>
            </w:pPr>
          </w:p>
        </w:tc>
      </w:tr>
      <w:tr w14:paraId="75E1F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694" w:type="dxa"/>
            <w:vMerge w:val="continue"/>
            <w:tcBorders>
              <w:top w:val="nil"/>
              <w:bottom w:val="nil"/>
            </w:tcBorders>
            <w:vAlign w:val="top"/>
          </w:tcPr>
          <w:p w14:paraId="0EFF2897">
            <w:pPr>
              <w:rPr>
                <w:rFonts w:ascii="Arial"/>
                <w:sz w:val="21"/>
              </w:rPr>
            </w:pPr>
          </w:p>
        </w:tc>
        <w:tc>
          <w:tcPr>
            <w:tcW w:w="1558" w:type="dxa"/>
            <w:vAlign w:val="top"/>
          </w:tcPr>
          <w:p w14:paraId="3EEDE248">
            <w:pPr>
              <w:spacing w:line="450" w:lineRule="auto"/>
              <w:rPr>
                <w:rFonts w:ascii="Arial"/>
                <w:sz w:val="21"/>
              </w:rPr>
            </w:pPr>
          </w:p>
          <w:p w14:paraId="4591AADC">
            <w:pPr>
              <w:pStyle w:val="6"/>
              <w:spacing w:before="74" w:line="223" w:lineRule="auto"/>
              <w:ind w:left="330"/>
              <w:rPr>
                <w:sz w:val="23"/>
                <w:szCs w:val="23"/>
              </w:rPr>
            </w:pPr>
            <w:r>
              <w:rPr>
                <w:sz w:val="23"/>
                <w:szCs w:val="23"/>
              </w:rPr>
              <w:t>NT</w:t>
            </w:r>
            <w:r>
              <w:rPr>
                <w:spacing w:val="-57"/>
                <w:sz w:val="23"/>
                <w:szCs w:val="23"/>
              </w:rPr>
              <w:t xml:space="preserve"> </w:t>
            </w:r>
            <w:r>
              <w:rPr>
                <w:spacing w:val="28"/>
                <w:sz w:val="23"/>
                <w:szCs w:val="23"/>
              </w:rPr>
              <w:t>-</w:t>
            </w:r>
            <w:r>
              <w:rPr>
                <w:spacing w:val="-57"/>
                <w:sz w:val="23"/>
                <w:szCs w:val="23"/>
              </w:rPr>
              <w:t xml:space="preserve"> </w:t>
            </w:r>
            <w:r>
              <w:rPr>
                <w:spacing w:val="28"/>
                <w:sz w:val="23"/>
                <w:szCs w:val="23"/>
              </w:rPr>
              <w:t>4北</w:t>
            </w:r>
          </w:p>
        </w:tc>
        <w:tc>
          <w:tcPr>
            <w:tcW w:w="989" w:type="dxa"/>
            <w:vMerge w:val="continue"/>
            <w:tcBorders>
              <w:top w:val="nil"/>
              <w:bottom w:val="nil"/>
            </w:tcBorders>
            <w:vAlign w:val="top"/>
          </w:tcPr>
          <w:p w14:paraId="60342399">
            <w:pPr>
              <w:rPr>
                <w:rFonts w:ascii="Arial"/>
                <w:sz w:val="21"/>
              </w:rPr>
            </w:pPr>
          </w:p>
        </w:tc>
        <w:tc>
          <w:tcPr>
            <w:tcW w:w="1968" w:type="dxa"/>
            <w:vAlign w:val="top"/>
          </w:tcPr>
          <w:p w14:paraId="455A0CBC">
            <w:pPr>
              <w:pStyle w:val="6"/>
              <w:spacing w:before="87" w:line="216" w:lineRule="auto"/>
              <w:ind w:left="94" w:right="377"/>
              <w:rPr>
                <w:sz w:val="23"/>
                <w:szCs w:val="23"/>
              </w:rPr>
            </w:pPr>
            <w:r>
              <w:rPr>
                <w:spacing w:val="-1"/>
                <w:sz w:val="23"/>
                <w:szCs w:val="23"/>
              </w:rPr>
              <w:t>40°43'51.54"</w:t>
            </w:r>
            <w:r>
              <w:rPr>
                <w:spacing w:val="2"/>
                <w:sz w:val="23"/>
                <w:szCs w:val="23"/>
              </w:rPr>
              <w:t xml:space="preserve"> </w:t>
            </w:r>
            <w:r>
              <w:rPr>
                <w:sz w:val="23"/>
                <w:szCs w:val="23"/>
              </w:rPr>
              <w:t>北</w:t>
            </w:r>
          </w:p>
          <w:p w14:paraId="41582A5E">
            <w:pPr>
              <w:pStyle w:val="6"/>
              <w:spacing w:before="70" w:line="222" w:lineRule="auto"/>
              <w:ind w:left="94" w:right="279"/>
              <w:rPr>
                <w:sz w:val="23"/>
                <w:szCs w:val="23"/>
              </w:rPr>
            </w:pPr>
            <w:r>
              <w:rPr>
                <w:spacing w:val="-2"/>
                <w:sz w:val="23"/>
                <w:szCs w:val="23"/>
              </w:rPr>
              <w:t>110°15'11.11"</w:t>
            </w:r>
            <w:r>
              <w:rPr>
                <w:sz w:val="23"/>
                <w:szCs w:val="23"/>
              </w:rPr>
              <w:t xml:space="preserve"> 东</w:t>
            </w:r>
          </w:p>
        </w:tc>
        <w:tc>
          <w:tcPr>
            <w:tcW w:w="1009" w:type="dxa"/>
            <w:vAlign w:val="top"/>
          </w:tcPr>
          <w:p w14:paraId="39C89572">
            <w:pPr>
              <w:spacing w:line="468" w:lineRule="auto"/>
              <w:rPr>
                <w:rFonts w:ascii="Arial"/>
                <w:sz w:val="21"/>
              </w:rPr>
            </w:pPr>
          </w:p>
          <w:p w14:paraId="74639FEB">
            <w:pPr>
              <w:pStyle w:val="6"/>
              <w:spacing w:before="74"/>
              <w:ind w:left="266"/>
              <w:rPr>
                <w:sz w:val="23"/>
                <w:szCs w:val="23"/>
              </w:rPr>
            </w:pPr>
            <w:r>
              <w:rPr>
                <w:spacing w:val="-1"/>
                <w:sz w:val="23"/>
                <w:szCs w:val="23"/>
              </w:rPr>
              <w:t>NT-7</w:t>
            </w:r>
          </w:p>
        </w:tc>
        <w:tc>
          <w:tcPr>
            <w:tcW w:w="929" w:type="dxa"/>
            <w:vAlign w:val="top"/>
          </w:tcPr>
          <w:p w14:paraId="1003F763">
            <w:pPr>
              <w:spacing w:line="468" w:lineRule="auto"/>
              <w:rPr>
                <w:rFonts w:ascii="Arial"/>
                <w:sz w:val="21"/>
              </w:rPr>
            </w:pPr>
          </w:p>
          <w:p w14:paraId="0DC4ADE1">
            <w:pPr>
              <w:pStyle w:val="6"/>
              <w:spacing w:before="75" w:line="239" w:lineRule="auto"/>
              <w:ind w:left="117"/>
              <w:rPr>
                <w:sz w:val="23"/>
                <w:szCs w:val="23"/>
              </w:rPr>
            </w:pPr>
            <w:r>
              <w:rPr>
                <w:spacing w:val="-2"/>
                <w:sz w:val="23"/>
                <w:szCs w:val="23"/>
              </w:rPr>
              <w:t>515.51</w:t>
            </w:r>
          </w:p>
        </w:tc>
        <w:tc>
          <w:tcPr>
            <w:tcW w:w="2053" w:type="dxa"/>
            <w:vMerge w:val="continue"/>
            <w:tcBorders>
              <w:top w:val="nil"/>
              <w:bottom w:val="nil"/>
            </w:tcBorders>
            <w:vAlign w:val="top"/>
          </w:tcPr>
          <w:p w14:paraId="02991133">
            <w:pPr>
              <w:rPr>
                <w:rFonts w:ascii="Arial"/>
                <w:sz w:val="21"/>
              </w:rPr>
            </w:pPr>
          </w:p>
        </w:tc>
      </w:tr>
      <w:tr w14:paraId="6E8AC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94" w:type="dxa"/>
            <w:vMerge w:val="continue"/>
            <w:tcBorders>
              <w:top w:val="nil"/>
            </w:tcBorders>
            <w:vAlign w:val="top"/>
          </w:tcPr>
          <w:p w14:paraId="450D35DE">
            <w:pPr>
              <w:rPr>
                <w:rFonts w:ascii="Arial"/>
                <w:sz w:val="21"/>
              </w:rPr>
            </w:pPr>
          </w:p>
        </w:tc>
        <w:tc>
          <w:tcPr>
            <w:tcW w:w="1558" w:type="dxa"/>
            <w:vAlign w:val="top"/>
          </w:tcPr>
          <w:p w14:paraId="45269F3C">
            <w:pPr>
              <w:spacing w:line="278" w:lineRule="auto"/>
              <w:rPr>
                <w:rFonts w:ascii="Arial"/>
                <w:sz w:val="21"/>
              </w:rPr>
            </w:pPr>
          </w:p>
          <w:p w14:paraId="04AA611F">
            <w:pPr>
              <w:pStyle w:val="6"/>
              <w:spacing w:before="74" w:line="219" w:lineRule="auto"/>
              <w:ind w:left="310"/>
              <w:rPr>
                <w:sz w:val="23"/>
                <w:szCs w:val="23"/>
              </w:rPr>
            </w:pPr>
            <w:r>
              <w:rPr>
                <w:spacing w:val="2"/>
                <w:sz w:val="23"/>
                <w:szCs w:val="23"/>
              </w:rPr>
              <w:t>沙明线北</w:t>
            </w:r>
          </w:p>
        </w:tc>
        <w:tc>
          <w:tcPr>
            <w:tcW w:w="989" w:type="dxa"/>
            <w:vMerge w:val="continue"/>
            <w:tcBorders>
              <w:top w:val="nil"/>
            </w:tcBorders>
            <w:vAlign w:val="top"/>
          </w:tcPr>
          <w:p w14:paraId="256142EC">
            <w:pPr>
              <w:rPr>
                <w:rFonts w:ascii="Arial"/>
                <w:sz w:val="21"/>
              </w:rPr>
            </w:pPr>
          </w:p>
        </w:tc>
        <w:tc>
          <w:tcPr>
            <w:tcW w:w="1968" w:type="dxa"/>
            <w:vAlign w:val="top"/>
          </w:tcPr>
          <w:p w14:paraId="2432B50F">
            <w:pPr>
              <w:pStyle w:val="6"/>
              <w:spacing w:before="36" w:line="236" w:lineRule="auto"/>
              <w:ind w:left="94" w:right="122"/>
              <w:rPr>
                <w:sz w:val="23"/>
                <w:szCs w:val="23"/>
              </w:rPr>
            </w:pPr>
            <w:r>
              <w:rPr>
                <w:spacing w:val="1"/>
                <w:sz w:val="23"/>
                <w:szCs w:val="23"/>
              </w:rPr>
              <w:t>40°44'7.05”北</w:t>
            </w:r>
            <w:r>
              <w:rPr>
                <w:spacing w:val="3"/>
                <w:sz w:val="23"/>
                <w:szCs w:val="23"/>
              </w:rPr>
              <w:t xml:space="preserve"> </w:t>
            </w:r>
            <w:r>
              <w:rPr>
                <w:spacing w:val="-1"/>
                <w:sz w:val="23"/>
                <w:szCs w:val="23"/>
              </w:rPr>
              <w:t>110°15'22.33"</w:t>
            </w:r>
            <w:r>
              <w:rPr>
                <w:spacing w:val="3"/>
                <w:sz w:val="23"/>
                <w:szCs w:val="23"/>
              </w:rPr>
              <w:t xml:space="preserve">  </w:t>
            </w:r>
            <w:r>
              <w:rPr>
                <w:sz w:val="23"/>
                <w:szCs w:val="23"/>
              </w:rPr>
              <w:t>东</w:t>
            </w:r>
          </w:p>
        </w:tc>
        <w:tc>
          <w:tcPr>
            <w:tcW w:w="1009" w:type="dxa"/>
            <w:vAlign w:val="top"/>
          </w:tcPr>
          <w:p w14:paraId="7B2E1B9C">
            <w:pPr>
              <w:spacing w:line="300" w:lineRule="auto"/>
              <w:rPr>
                <w:rFonts w:ascii="Arial"/>
                <w:sz w:val="21"/>
              </w:rPr>
            </w:pPr>
          </w:p>
          <w:p w14:paraId="054F8E48">
            <w:pPr>
              <w:pStyle w:val="6"/>
              <w:spacing w:before="74"/>
              <w:ind w:left="266"/>
              <w:rPr>
                <w:sz w:val="23"/>
                <w:szCs w:val="23"/>
              </w:rPr>
            </w:pPr>
            <w:r>
              <w:rPr>
                <w:spacing w:val="-1"/>
                <w:sz w:val="23"/>
                <w:szCs w:val="23"/>
              </w:rPr>
              <w:t>NT-8</w:t>
            </w:r>
          </w:p>
        </w:tc>
        <w:tc>
          <w:tcPr>
            <w:tcW w:w="929" w:type="dxa"/>
            <w:vAlign w:val="top"/>
          </w:tcPr>
          <w:p w14:paraId="122DBDE3">
            <w:pPr>
              <w:spacing w:line="300" w:lineRule="auto"/>
              <w:rPr>
                <w:rFonts w:ascii="Arial"/>
                <w:sz w:val="21"/>
              </w:rPr>
            </w:pPr>
          </w:p>
          <w:p w14:paraId="543FF27C">
            <w:pPr>
              <w:pStyle w:val="6"/>
              <w:spacing w:before="75" w:line="239" w:lineRule="auto"/>
              <w:ind w:left="167"/>
              <w:rPr>
                <w:sz w:val="23"/>
                <w:szCs w:val="23"/>
              </w:rPr>
            </w:pPr>
            <w:r>
              <w:rPr>
                <w:spacing w:val="-5"/>
                <w:sz w:val="23"/>
                <w:szCs w:val="23"/>
              </w:rPr>
              <w:t>15.01</w:t>
            </w:r>
          </w:p>
        </w:tc>
        <w:tc>
          <w:tcPr>
            <w:tcW w:w="2053" w:type="dxa"/>
            <w:vMerge w:val="continue"/>
            <w:tcBorders>
              <w:top w:val="nil"/>
              <w:bottom w:val="nil"/>
            </w:tcBorders>
            <w:vAlign w:val="top"/>
          </w:tcPr>
          <w:p w14:paraId="0620B7A6">
            <w:pPr>
              <w:rPr>
                <w:rFonts w:ascii="Arial"/>
                <w:sz w:val="21"/>
              </w:rPr>
            </w:pPr>
          </w:p>
        </w:tc>
      </w:tr>
      <w:tr w14:paraId="2DAE8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94" w:type="dxa"/>
            <w:vMerge w:val="restart"/>
            <w:tcBorders>
              <w:bottom w:val="nil"/>
            </w:tcBorders>
            <w:vAlign w:val="top"/>
          </w:tcPr>
          <w:p w14:paraId="00324C78">
            <w:pPr>
              <w:spacing w:line="296" w:lineRule="auto"/>
              <w:rPr>
                <w:rFonts w:ascii="Arial"/>
                <w:sz w:val="21"/>
              </w:rPr>
            </w:pPr>
          </w:p>
          <w:p w14:paraId="67D34FF3">
            <w:pPr>
              <w:spacing w:line="297" w:lineRule="auto"/>
              <w:rPr>
                <w:rFonts w:ascii="Arial"/>
                <w:sz w:val="21"/>
              </w:rPr>
            </w:pPr>
          </w:p>
          <w:p w14:paraId="63674F27">
            <w:pPr>
              <w:pStyle w:val="6"/>
              <w:spacing w:before="75" w:line="219" w:lineRule="auto"/>
              <w:ind w:left="108"/>
              <w:rPr>
                <w:sz w:val="23"/>
                <w:szCs w:val="23"/>
              </w:rPr>
            </w:pPr>
            <w:r>
              <w:rPr>
                <w:b/>
                <w:bCs/>
                <w:spacing w:val="-6"/>
                <w:sz w:val="23"/>
                <w:szCs w:val="23"/>
              </w:rPr>
              <w:t>蔬菜</w:t>
            </w:r>
          </w:p>
          <w:p w14:paraId="1A313483">
            <w:pPr>
              <w:pStyle w:val="6"/>
              <w:spacing w:before="37" w:line="220" w:lineRule="auto"/>
              <w:ind w:left="108"/>
              <w:rPr>
                <w:sz w:val="23"/>
                <w:szCs w:val="23"/>
              </w:rPr>
            </w:pPr>
            <w:r>
              <w:rPr>
                <w:b/>
                <w:bCs/>
                <w:spacing w:val="-6"/>
                <w:sz w:val="23"/>
                <w:szCs w:val="23"/>
              </w:rPr>
              <w:t>大棚</w:t>
            </w:r>
          </w:p>
        </w:tc>
        <w:tc>
          <w:tcPr>
            <w:tcW w:w="1558" w:type="dxa"/>
            <w:vAlign w:val="top"/>
          </w:tcPr>
          <w:p w14:paraId="79400492">
            <w:pPr>
              <w:pStyle w:val="6"/>
              <w:spacing w:before="205" w:line="219" w:lineRule="auto"/>
              <w:ind w:left="310"/>
              <w:rPr>
                <w:sz w:val="23"/>
                <w:szCs w:val="23"/>
              </w:rPr>
            </w:pPr>
            <w:r>
              <w:rPr>
                <w:spacing w:val="2"/>
                <w:sz w:val="23"/>
                <w:szCs w:val="23"/>
              </w:rPr>
              <w:t>紧靠</w:t>
            </w:r>
            <w:r>
              <w:rPr>
                <w:sz w:val="23"/>
                <w:szCs w:val="23"/>
              </w:rPr>
              <w:t>NT</w:t>
            </w:r>
            <w:r>
              <w:rPr>
                <w:spacing w:val="2"/>
                <w:sz w:val="23"/>
                <w:szCs w:val="23"/>
              </w:rPr>
              <w:t>-4</w:t>
            </w:r>
          </w:p>
        </w:tc>
        <w:tc>
          <w:tcPr>
            <w:tcW w:w="989" w:type="dxa"/>
            <w:vMerge w:val="restart"/>
            <w:tcBorders>
              <w:bottom w:val="nil"/>
            </w:tcBorders>
            <w:vAlign w:val="top"/>
          </w:tcPr>
          <w:p w14:paraId="7B984A90">
            <w:pPr>
              <w:spacing w:line="241" w:lineRule="auto"/>
              <w:rPr>
                <w:rFonts w:ascii="Arial"/>
                <w:sz w:val="21"/>
              </w:rPr>
            </w:pPr>
          </w:p>
          <w:p w14:paraId="2F46B811">
            <w:pPr>
              <w:spacing w:line="241" w:lineRule="auto"/>
              <w:rPr>
                <w:rFonts w:ascii="Arial"/>
                <w:sz w:val="21"/>
              </w:rPr>
            </w:pPr>
          </w:p>
          <w:p w14:paraId="507A9553">
            <w:pPr>
              <w:spacing w:line="241" w:lineRule="auto"/>
              <w:rPr>
                <w:rFonts w:ascii="Arial"/>
                <w:sz w:val="21"/>
              </w:rPr>
            </w:pPr>
          </w:p>
          <w:p w14:paraId="0668251E">
            <w:pPr>
              <w:spacing w:line="241" w:lineRule="auto"/>
              <w:rPr>
                <w:rFonts w:ascii="Arial"/>
                <w:sz w:val="21"/>
              </w:rPr>
            </w:pPr>
          </w:p>
          <w:p w14:paraId="00C1CF7F">
            <w:pPr>
              <w:spacing w:line="241" w:lineRule="auto"/>
              <w:rPr>
                <w:rFonts w:ascii="Arial"/>
                <w:sz w:val="21"/>
              </w:rPr>
            </w:pPr>
          </w:p>
          <w:p w14:paraId="19CDF82A">
            <w:pPr>
              <w:spacing w:line="241" w:lineRule="auto"/>
              <w:rPr>
                <w:rFonts w:ascii="Arial"/>
                <w:sz w:val="21"/>
              </w:rPr>
            </w:pPr>
          </w:p>
          <w:p w14:paraId="1BF59FBE">
            <w:pPr>
              <w:spacing w:line="241" w:lineRule="auto"/>
              <w:rPr>
                <w:rFonts w:ascii="Arial"/>
                <w:sz w:val="21"/>
              </w:rPr>
            </w:pPr>
          </w:p>
          <w:p w14:paraId="4F01B530">
            <w:pPr>
              <w:spacing w:line="241" w:lineRule="auto"/>
              <w:rPr>
                <w:rFonts w:ascii="Arial"/>
                <w:sz w:val="21"/>
              </w:rPr>
            </w:pPr>
          </w:p>
          <w:p w14:paraId="01B5EFFE">
            <w:pPr>
              <w:spacing w:line="241" w:lineRule="auto"/>
              <w:rPr>
                <w:rFonts w:ascii="Arial"/>
                <w:sz w:val="21"/>
              </w:rPr>
            </w:pPr>
          </w:p>
          <w:p w14:paraId="51EBB3DA">
            <w:pPr>
              <w:pStyle w:val="6"/>
              <w:spacing w:before="74" w:line="242" w:lineRule="auto"/>
              <w:ind w:left="142" w:right="126" w:firstLine="110"/>
              <w:rPr>
                <w:sz w:val="23"/>
                <w:szCs w:val="23"/>
              </w:rPr>
            </w:pPr>
            <w:r>
              <w:rPr>
                <w:spacing w:val="7"/>
                <w:sz w:val="23"/>
                <w:szCs w:val="23"/>
              </w:rPr>
              <w:t>二级</w:t>
            </w:r>
            <w:r>
              <w:rPr>
                <w:sz w:val="23"/>
                <w:szCs w:val="23"/>
              </w:rPr>
              <w:t xml:space="preserve">  </w:t>
            </w:r>
            <w:r>
              <w:rPr>
                <w:spacing w:val="6"/>
                <w:sz w:val="23"/>
                <w:szCs w:val="23"/>
              </w:rPr>
              <w:t>保护区</w:t>
            </w:r>
          </w:p>
        </w:tc>
        <w:tc>
          <w:tcPr>
            <w:tcW w:w="1968" w:type="dxa"/>
            <w:vAlign w:val="top"/>
          </w:tcPr>
          <w:p w14:paraId="52F2AD37">
            <w:pPr>
              <w:pStyle w:val="6"/>
              <w:spacing w:before="59" w:line="221" w:lineRule="auto"/>
              <w:ind w:left="94" w:right="3"/>
              <w:rPr>
                <w:sz w:val="23"/>
                <w:szCs w:val="23"/>
              </w:rPr>
            </w:pPr>
            <w:r>
              <w:rPr>
                <w:spacing w:val="-2"/>
                <w:sz w:val="23"/>
                <w:szCs w:val="23"/>
              </w:rPr>
              <w:t>40°43'12.99"</w:t>
            </w:r>
            <w:r>
              <w:rPr>
                <w:color w:val="204040"/>
                <w:spacing w:val="-2"/>
                <w:sz w:val="23"/>
                <w:szCs w:val="23"/>
              </w:rPr>
              <w:t>北</w:t>
            </w:r>
            <w:r>
              <w:rPr>
                <w:color w:val="204040"/>
                <w:spacing w:val="3"/>
                <w:sz w:val="23"/>
                <w:szCs w:val="23"/>
              </w:rPr>
              <w:t xml:space="preserve">  </w:t>
            </w:r>
            <w:r>
              <w:rPr>
                <w:spacing w:val="1"/>
                <w:sz w:val="23"/>
                <w:szCs w:val="23"/>
              </w:rPr>
              <w:t>110°15'14.87"东</w:t>
            </w:r>
          </w:p>
        </w:tc>
        <w:tc>
          <w:tcPr>
            <w:tcW w:w="1009" w:type="dxa"/>
            <w:vAlign w:val="top"/>
          </w:tcPr>
          <w:p w14:paraId="3C2173EE">
            <w:pPr>
              <w:pStyle w:val="6"/>
              <w:spacing w:before="228" w:line="241" w:lineRule="auto"/>
              <w:ind w:left="266"/>
              <w:rPr>
                <w:sz w:val="23"/>
                <w:szCs w:val="23"/>
              </w:rPr>
            </w:pPr>
            <w:r>
              <w:rPr>
                <w:spacing w:val="-2"/>
                <w:sz w:val="23"/>
                <w:szCs w:val="23"/>
              </w:rPr>
              <w:t>DP-1</w:t>
            </w:r>
          </w:p>
        </w:tc>
        <w:tc>
          <w:tcPr>
            <w:tcW w:w="929" w:type="dxa"/>
            <w:vAlign w:val="top"/>
          </w:tcPr>
          <w:p w14:paraId="2F40919E">
            <w:pPr>
              <w:pStyle w:val="6"/>
              <w:spacing w:before="228" w:line="239" w:lineRule="auto"/>
              <w:ind w:left="167"/>
              <w:rPr>
                <w:sz w:val="23"/>
                <w:szCs w:val="23"/>
              </w:rPr>
            </w:pPr>
            <w:r>
              <w:rPr>
                <w:spacing w:val="-2"/>
                <w:sz w:val="23"/>
                <w:szCs w:val="23"/>
              </w:rPr>
              <w:t>44.57</w:t>
            </w:r>
          </w:p>
        </w:tc>
        <w:tc>
          <w:tcPr>
            <w:tcW w:w="2053" w:type="dxa"/>
            <w:vMerge w:val="continue"/>
            <w:tcBorders>
              <w:top w:val="nil"/>
              <w:bottom w:val="nil"/>
            </w:tcBorders>
            <w:vAlign w:val="top"/>
          </w:tcPr>
          <w:p w14:paraId="2B1D3DAE">
            <w:pPr>
              <w:rPr>
                <w:rFonts w:ascii="Arial"/>
                <w:sz w:val="21"/>
              </w:rPr>
            </w:pPr>
          </w:p>
        </w:tc>
      </w:tr>
      <w:tr w14:paraId="238B5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94" w:type="dxa"/>
            <w:vMerge w:val="continue"/>
            <w:tcBorders>
              <w:top w:val="nil"/>
              <w:bottom w:val="nil"/>
            </w:tcBorders>
            <w:vAlign w:val="top"/>
          </w:tcPr>
          <w:p w14:paraId="775AFBE1">
            <w:pPr>
              <w:rPr>
                <w:rFonts w:ascii="Arial"/>
                <w:sz w:val="21"/>
              </w:rPr>
            </w:pPr>
          </w:p>
        </w:tc>
        <w:tc>
          <w:tcPr>
            <w:tcW w:w="1558" w:type="dxa"/>
            <w:vAlign w:val="top"/>
          </w:tcPr>
          <w:p w14:paraId="7A3601B0">
            <w:pPr>
              <w:pStyle w:val="6"/>
              <w:spacing w:before="205" w:line="219" w:lineRule="auto"/>
              <w:ind w:left="310"/>
              <w:rPr>
                <w:sz w:val="23"/>
                <w:szCs w:val="23"/>
              </w:rPr>
            </w:pPr>
            <w:r>
              <w:rPr>
                <w:spacing w:val="5"/>
                <w:sz w:val="23"/>
                <w:szCs w:val="23"/>
              </w:rPr>
              <w:t>腮大坝东</w:t>
            </w:r>
          </w:p>
        </w:tc>
        <w:tc>
          <w:tcPr>
            <w:tcW w:w="989" w:type="dxa"/>
            <w:vMerge w:val="continue"/>
            <w:tcBorders>
              <w:top w:val="nil"/>
              <w:bottom w:val="nil"/>
            </w:tcBorders>
            <w:vAlign w:val="top"/>
          </w:tcPr>
          <w:p w14:paraId="573AEC08">
            <w:pPr>
              <w:rPr>
                <w:rFonts w:ascii="Arial"/>
                <w:sz w:val="21"/>
              </w:rPr>
            </w:pPr>
          </w:p>
        </w:tc>
        <w:tc>
          <w:tcPr>
            <w:tcW w:w="1968" w:type="dxa"/>
            <w:vAlign w:val="top"/>
          </w:tcPr>
          <w:p w14:paraId="44C44EF1">
            <w:pPr>
              <w:pStyle w:val="6"/>
              <w:spacing w:before="70" w:line="220" w:lineRule="auto"/>
              <w:ind w:left="113" w:hanging="19"/>
              <w:rPr>
                <w:sz w:val="23"/>
                <w:szCs w:val="23"/>
              </w:rPr>
            </w:pPr>
            <w:r>
              <w:rPr>
                <w:sz w:val="23"/>
                <w:szCs w:val="23"/>
              </w:rPr>
              <w:t>40°43'32.00"北  110°15'10.97"东</w:t>
            </w:r>
          </w:p>
        </w:tc>
        <w:tc>
          <w:tcPr>
            <w:tcW w:w="1009" w:type="dxa"/>
            <w:vAlign w:val="top"/>
          </w:tcPr>
          <w:p w14:paraId="0BD135B2">
            <w:pPr>
              <w:pStyle w:val="6"/>
              <w:spacing w:before="228" w:line="241" w:lineRule="auto"/>
              <w:ind w:left="266"/>
              <w:rPr>
                <w:sz w:val="23"/>
                <w:szCs w:val="23"/>
              </w:rPr>
            </w:pPr>
            <w:r>
              <w:rPr>
                <w:spacing w:val="-2"/>
                <w:sz w:val="23"/>
                <w:szCs w:val="23"/>
              </w:rPr>
              <w:t>DP-2</w:t>
            </w:r>
          </w:p>
        </w:tc>
        <w:tc>
          <w:tcPr>
            <w:tcW w:w="929" w:type="dxa"/>
            <w:vAlign w:val="top"/>
          </w:tcPr>
          <w:p w14:paraId="535899F4">
            <w:pPr>
              <w:pStyle w:val="6"/>
              <w:spacing w:before="228" w:line="239" w:lineRule="auto"/>
              <w:ind w:left="167"/>
              <w:rPr>
                <w:sz w:val="23"/>
                <w:szCs w:val="23"/>
              </w:rPr>
            </w:pPr>
            <w:r>
              <w:rPr>
                <w:spacing w:val="-2"/>
                <w:sz w:val="23"/>
                <w:szCs w:val="23"/>
              </w:rPr>
              <w:t>40.38</w:t>
            </w:r>
          </w:p>
        </w:tc>
        <w:tc>
          <w:tcPr>
            <w:tcW w:w="2053" w:type="dxa"/>
            <w:vMerge w:val="continue"/>
            <w:tcBorders>
              <w:top w:val="nil"/>
              <w:bottom w:val="nil"/>
            </w:tcBorders>
            <w:vAlign w:val="top"/>
          </w:tcPr>
          <w:p w14:paraId="759782C3">
            <w:pPr>
              <w:rPr>
                <w:rFonts w:ascii="Arial"/>
                <w:sz w:val="21"/>
              </w:rPr>
            </w:pPr>
          </w:p>
        </w:tc>
      </w:tr>
      <w:tr w14:paraId="479B1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94" w:type="dxa"/>
            <w:vMerge w:val="continue"/>
            <w:tcBorders>
              <w:top w:val="nil"/>
            </w:tcBorders>
            <w:vAlign w:val="top"/>
          </w:tcPr>
          <w:p w14:paraId="4E44CA1F">
            <w:pPr>
              <w:rPr>
                <w:rFonts w:ascii="Arial"/>
                <w:sz w:val="21"/>
              </w:rPr>
            </w:pPr>
          </w:p>
        </w:tc>
        <w:tc>
          <w:tcPr>
            <w:tcW w:w="1558" w:type="dxa"/>
            <w:vAlign w:val="top"/>
          </w:tcPr>
          <w:p w14:paraId="0EA2005F">
            <w:pPr>
              <w:pStyle w:val="6"/>
              <w:spacing w:before="206" w:line="219" w:lineRule="auto"/>
              <w:ind w:left="310"/>
              <w:rPr>
                <w:sz w:val="23"/>
                <w:szCs w:val="23"/>
              </w:rPr>
            </w:pPr>
            <w:r>
              <w:rPr>
                <w:spacing w:val="3"/>
                <w:sz w:val="23"/>
                <w:szCs w:val="23"/>
              </w:rPr>
              <w:t>紧靠</w:t>
            </w:r>
            <w:r>
              <w:rPr>
                <w:sz w:val="23"/>
                <w:szCs w:val="23"/>
              </w:rPr>
              <w:t>NT</w:t>
            </w:r>
            <w:r>
              <w:rPr>
                <w:spacing w:val="3"/>
                <w:sz w:val="23"/>
                <w:szCs w:val="23"/>
              </w:rPr>
              <w:t>-7</w:t>
            </w:r>
          </w:p>
        </w:tc>
        <w:tc>
          <w:tcPr>
            <w:tcW w:w="989" w:type="dxa"/>
            <w:vMerge w:val="continue"/>
            <w:tcBorders>
              <w:top w:val="nil"/>
              <w:bottom w:val="nil"/>
            </w:tcBorders>
            <w:vAlign w:val="top"/>
          </w:tcPr>
          <w:p w14:paraId="7F035814">
            <w:pPr>
              <w:rPr>
                <w:rFonts w:ascii="Arial"/>
                <w:sz w:val="21"/>
              </w:rPr>
            </w:pPr>
          </w:p>
        </w:tc>
        <w:tc>
          <w:tcPr>
            <w:tcW w:w="1968" w:type="dxa"/>
            <w:vAlign w:val="top"/>
          </w:tcPr>
          <w:p w14:paraId="4B56D4D9">
            <w:pPr>
              <w:pStyle w:val="6"/>
              <w:spacing w:before="70" w:line="216" w:lineRule="auto"/>
              <w:ind w:left="94" w:right="113"/>
              <w:rPr>
                <w:sz w:val="23"/>
                <w:szCs w:val="23"/>
              </w:rPr>
            </w:pPr>
            <w:r>
              <w:rPr>
                <w:spacing w:val="1"/>
                <w:sz w:val="23"/>
                <w:szCs w:val="23"/>
              </w:rPr>
              <w:t>40°43'43.63"北</w:t>
            </w:r>
            <w:r>
              <w:rPr>
                <w:spacing w:val="2"/>
                <w:sz w:val="23"/>
                <w:szCs w:val="23"/>
              </w:rPr>
              <w:t xml:space="preserve"> </w:t>
            </w:r>
            <w:r>
              <w:rPr>
                <w:spacing w:val="1"/>
                <w:sz w:val="23"/>
                <w:szCs w:val="23"/>
              </w:rPr>
              <w:t>110°15'4.73"东</w:t>
            </w:r>
          </w:p>
        </w:tc>
        <w:tc>
          <w:tcPr>
            <w:tcW w:w="1009" w:type="dxa"/>
            <w:vAlign w:val="top"/>
          </w:tcPr>
          <w:p w14:paraId="73130CA3">
            <w:pPr>
              <w:pStyle w:val="6"/>
              <w:spacing w:before="228"/>
              <w:ind w:left="266"/>
              <w:rPr>
                <w:sz w:val="23"/>
                <w:szCs w:val="23"/>
              </w:rPr>
            </w:pPr>
            <w:r>
              <w:rPr>
                <w:spacing w:val="-2"/>
                <w:sz w:val="23"/>
                <w:szCs w:val="23"/>
              </w:rPr>
              <w:t>DP-3</w:t>
            </w:r>
          </w:p>
        </w:tc>
        <w:tc>
          <w:tcPr>
            <w:tcW w:w="929" w:type="dxa"/>
            <w:vAlign w:val="top"/>
          </w:tcPr>
          <w:p w14:paraId="7A4D3F06">
            <w:pPr>
              <w:pStyle w:val="6"/>
              <w:spacing w:before="229" w:line="239" w:lineRule="auto"/>
              <w:ind w:left="167"/>
              <w:rPr>
                <w:sz w:val="23"/>
                <w:szCs w:val="23"/>
              </w:rPr>
            </w:pPr>
            <w:r>
              <w:rPr>
                <w:spacing w:val="-5"/>
                <w:sz w:val="23"/>
                <w:szCs w:val="23"/>
              </w:rPr>
              <w:t>19.50</w:t>
            </w:r>
          </w:p>
        </w:tc>
        <w:tc>
          <w:tcPr>
            <w:tcW w:w="2053" w:type="dxa"/>
            <w:vMerge w:val="continue"/>
            <w:tcBorders>
              <w:top w:val="nil"/>
            </w:tcBorders>
            <w:vAlign w:val="top"/>
          </w:tcPr>
          <w:p w14:paraId="32931ECC">
            <w:pPr>
              <w:rPr>
                <w:rFonts w:ascii="Arial"/>
                <w:sz w:val="21"/>
              </w:rPr>
            </w:pPr>
          </w:p>
        </w:tc>
      </w:tr>
      <w:tr w14:paraId="57BD3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9" w:hRule="atLeast"/>
        </w:trPr>
        <w:tc>
          <w:tcPr>
            <w:tcW w:w="694" w:type="dxa"/>
            <w:vAlign w:val="top"/>
          </w:tcPr>
          <w:p w14:paraId="0159209D">
            <w:pPr>
              <w:spacing w:line="251" w:lineRule="auto"/>
              <w:rPr>
                <w:rFonts w:ascii="Arial"/>
                <w:sz w:val="21"/>
              </w:rPr>
            </w:pPr>
          </w:p>
          <w:p w14:paraId="0C4A88EA">
            <w:pPr>
              <w:spacing w:line="251" w:lineRule="auto"/>
              <w:rPr>
                <w:rFonts w:ascii="Arial"/>
                <w:sz w:val="21"/>
              </w:rPr>
            </w:pPr>
          </w:p>
          <w:p w14:paraId="7A05491B">
            <w:pPr>
              <w:spacing w:line="252" w:lineRule="auto"/>
              <w:rPr>
                <w:rFonts w:ascii="Arial"/>
                <w:sz w:val="21"/>
              </w:rPr>
            </w:pPr>
          </w:p>
          <w:p w14:paraId="6166FC2A">
            <w:pPr>
              <w:pStyle w:val="6"/>
              <w:spacing w:before="75" w:line="219" w:lineRule="auto"/>
              <w:ind w:left="108"/>
              <w:rPr>
                <w:sz w:val="23"/>
                <w:szCs w:val="23"/>
              </w:rPr>
            </w:pPr>
            <w:r>
              <w:rPr>
                <w:b/>
                <w:bCs/>
                <w:color w:val="405050"/>
                <w:spacing w:val="-5"/>
                <w:sz w:val="23"/>
                <w:szCs w:val="23"/>
              </w:rPr>
              <w:t>林地</w:t>
            </w:r>
          </w:p>
        </w:tc>
        <w:tc>
          <w:tcPr>
            <w:tcW w:w="1558" w:type="dxa"/>
            <w:vAlign w:val="top"/>
          </w:tcPr>
          <w:p w14:paraId="42E46B69">
            <w:pPr>
              <w:spacing w:line="304" w:lineRule="auto"/>
              <w:rPr>
                <w:rFonts w:ascii="Arial"/>
                <w:sz w:val="21"/>
              </w:rPr>
            </w:pPr>
          </w:p>
          <w:p w14:paraId="7CE04B90">
            <w:pPr>
              <w:spacing w:line="305" w:lineRule="auto"/>
              <w:rPr>
                <w:rFonts w:ascii="Arial"/>
                <w:sz w:val="21"/>
              </w:rPr>
            </w:pPr>
          </w:p>
          <w:p w14:paraId="38ED5745">
            <w:pPr>
              <w:pStyle w:val="6"/>
              <w:spacing w:before="74" w:line="246" w:lineRule="auto"/>
              <w:ind w:left="650" w:right="186" w:hanging="459"/>
              <w:rPr>
                <w:sz w:val="23"/>
                <w:szCs w:val="23"/>
              </w:rPr>
            </w:pPr>
            <w:r>
              <w:rPr>
                <w:spacing w:val="3"/>
                <w:sz w:val="23"/>
                <w:szCs w:val="23"/>
              </w:rPr>
              <w:t>1#水源井东</w:t>
            </w:r>
            <w:r>
              <w:rPr>
                <w:spacing w:val="1"/>
                <w:sz w:val="23"/>
                <w:szCs w:val="23"/>
              </w:rPr>
              <w:t xml:space="preserve"> </w:t>
            </w:r>
            <w:r>
              <w:rPr>
                <w:sz w:val="23"/>
                <w:szCs w:val="23"/>
              </w:rPr>
              <w:t>南</w:t>
            </w:r>
          </w:p>
        </w:tc>
        <w:tc>
          <w:tcPr>
            <w:tcW w:w="989" w:type="dxa"/>
            <w:vMerge w:val="continue"/>
            <w:tcBorders>
              <w:top w:val="nil"/>
              <w:bottom w:val="nil"/>
            </w:tcBorders>
            <w:vAlign w:val="top"/>
          </w:tcPr>
          <w:p w14:paraId="19F8EF95">
            <w:pPr>
              <w:rPr>
                <w:rFonts w:ascii="Arial"/>
                <w:sz w:val="21"/>
              </w:rPr>
            </w:pPr>
          </w:p>
        </w:tc>
        <w:tc>
          <w:tcPr>
            <w:tcW w:w="1968" w:type="dxa"/>
            <w:vAlign w:val="top"/>
          </w:tcPr>
          <w:p w14:paraId="57C24FDC">
            <w:pPr>
              <w:spacing w:line="311" w:lineRule="auto"/>
              <w:rPr>
                <w:rFonts w:ascii="Arial"/>
                <w:sz w:val="21"/>
              </w:rPr>
            </w:pPr>
          </w:p>
          <w:p w14:paraId="2F3024C2">
            <w:pPr>
              <w:spacing w:line="312" w:lineRule="auto"/>
              <w:rPr>
                <w:rFonts w:ascii="Arial"/>
                <w:sz w:val="21"/>
              </w:rPr>
            </w:pPr>
          </w:p>
          <w:p w14:paraId="1AA6D66F">
            <w:pPr>
              <w:pStyle w:val="6"/>
              <w:spacing w:before="75" w:line="247" w:lineRule="auto"/>
              <w:ind w:left="113" w:hanging="19"/>
              <w:rPr>
                <w:sz w:val="23"/>
                <w:szCs w:val="23"/>
              </w:rPr>
            </w:pPr>
            <w:r>
              <w:rPr>
                <w:sz w:val="23"/>
                <w:szCs w:val="23"/>
              </w:rPr>
              <w:t>40°42'37.36"北  110°15'47.41"东</w:t>
            </w:r>
          </w:p>
        </w:tc>
        <w:tc>
          <w:tcPr>
            <w:tcW w:w="1009" w:type="dxa"/>
            <w:vAlign w:val="top"/>
          </w:tcPr>
          <w:p w14:paraId="1131382C">
            <w:pPr>
              <w:spacing w:line="301" w:lineRule="auto"/>
              <w:rPr>
                <w:rFonts w:ascii="Arial"/>
                <w:sz w:val="21"/>
              </w:rPr>
            </w:pPr>
          </w:p>
          <w:p w14:paraId="2C8AB7CB">
            <w:pPr>
              <w:spacing w:line="301" w:lineRule="auto"/>
              <w:rPr>
                <w:rFonts w:ascii="Arial"/>
                <w:sz w:val="21"/>
              </w:rPr>
            </w:pPr>
          </w:p>
          <w:p w14:paraId="136BA5D7">
            <w:pPr>
              <w:pStyle w:val="6"/>
              <w:spacing w:before="75" w:line="222" w:lineRule="auto"/>
              <w:ind w:left="266"/>
              <w:rPr>
                <w:sz w:val="23"/>
                <w:szCs w:val="23"/>
              </w:rPr>
            </w:pPr>
            <w:r>
              <w:rPr>
                <w:spacing w:val="-3"/>
                <w:sz w:val="23"/>
                <w:szCs w:val="23"/>
              </w:rPr>
              <w:t>人造</w:t>
            </w:r>
          </w:p>
          <w:p w14:paraId="08745C92">
            <w:pPr>
              <w:pStyle w:val="6"/>
              <w:spacing w:before="29" w:line="219" w:lineRule="auto"/>
              <w:ind w:left="266"/>
              <w:rPr>
                <w:sz w:val="23"/>
                <w:szCs w:val="23"/>
              </w:rPr>
            </w:pPr>
            <w:r>
              <w:rPr>
                <w:color w:val="405050"/>
                <w:spacing w:val="-3"/>
                <w:sz w:val="23"/>
                <w:szCs w:val="23"/>
              </w:rPr>
              <w:t>林地</w:t>
            </w:r>
          </w:p>
        </w:tc>
        <w:tc>
          <w:tcPr>
            <w:tcW w:w="929" w:type="dxa"/>
            <w:vAlign w:val="top"/>
          </w:tcPr>
          <w:p w14:paraId="301B9E14">
            <w:pPr>
              <w:spacing w:line="260" w:lineRule="auto"/>
              <w:rPr>
                <w:rFonts w:ascii="Arial"/>
                <w:sz w:val="21"/>
              </w:rPr>
            </w:pPr>
          </w:p>
          <w:p w14:paraId="5DC4F099">
            <w:pPr>
              <w:spacing w:line="260" w:lineRule="auto"/>
              <w:rPr>
                <w:rFonts w:ascii="Arial"/>
                <w:sz w:val="21"/>
              </w:rPr>
            </w:pPr>
          </w:p>
          <w:p w14:paraId="2C427A87">
            <w:pPr>
              <w:spacing w:line="260" w:lineRule="auto"/>
              <w:rPr>
                <w:rFonts w:ascii="Arial"/>
                <w:sz w:val="21"/>
              </w:rPr>
            </w:pPr>
          </w:p>
          <w:p w14:paraId="77FC8EE6">
            <w:pPr>
              <w:pStyle w:val="6"/>
              <w:spacing w:before="75" w:line="239" w:lineRule="auto"/>
              <w:ind w:left="167"/>
              <w:rPr>
                <w:sz w:val="23"/>
                <w:szCs w:val="23"/>
              </w:rPr>
            </w:pPr>
            <w:r>
              <w:rPr>
                <w:spacing w:val="-2"/>
                <w:sz w:val="23"/>
                <w:szCs w:val="23"/>
              </w:rPr>
              <w:t>62.14</w:t>
            </w:r>
          </w:p>
        </w:tc>
        <w:tc>
          <w:tcPr>
            <w:tcW w:w="2053" w:type="dxa"/>
            <w:vAlign w:val="top"/>
          </w:tcPr>
          <w:p w14:paraId="56234AED">
            <w:pPr>
              <w:pStyle w:val="6"/>
              <w:spacing w:before="57" w:line="219" w:lineRule="auto"/>
              <w:jc w:val="right"/>
              <w:rPr>
                <w:sz w:val="23"/>
                <w:szCs w:val="23"/>
              </w:rPr>
            </w:pPr>
            <w:r>
              <w:rPr>
                <w:spacing w:val="13"/>
                <w:sz w:val="23"/>
                <w:szCs w:val="23"/>
              </w:rPr>
              <w:t>主要种植李、杏、</w:t>
            </w:r>
          </w:p>
          <w:p w14:paraId="18B8B177">
            <w:pPr>
              <w:pStyle w:val="6"/>
              <w:spacing w:before="37" w:line="219" w:lineRule="auto"/>
              <w:ind w:left="218"/>
              <w:rPr>
                <w:sz w:val="23"/>
                <w:szCs w:val="23"/>
              </w:rPr>
            </w:pPr>
            <w:r>
              <w:rPr>
                <w:spacing w:val="1"/>
                <w:sz w:val="23"/>
                <w:szCs w:val="23"/>
              </w:rPr>
              <w:t>苹果、山楂等水</w:t>
            </w:r>
          </w:p>
          <w:p w14:paraId="09D3963B">
            <w:pPr>
              <w:pStyle w:val="6"/>
              <w:spacing w:before="25" w:line="219" w:lineRule="auto"/>
              <w:jc w:val="right"/>
              <w:rPr>
                <w:sz w:val="23"/>
                <w:szCs w:val="23"/>
              </w:rPr>
            </w:pPr>
            <w:r>
              <w:rPr>
                <w:spacing w:val="13"/>
                <w:sz w:val="23"/>
                <w:szCs w:val="23"/>
              </w:rPr>
              <w:t>果，使用复合肥、</w:t>
            </w:r>
          </w:p>
          <w:p w14:paraId="3EDAC406">
            <w:pPr>
              <w:pStyle w:val="6"/>
              <w:spacing w:before="37" w:line="219" w:lineRule="auto"/>
              <w:ind w:left="97"/>
              <w:rPr>
                <w:sz w:val="23"/>
                <w:szCs w:val="23"/>
              </w:rPr>
            </w:pPr>
            <w:r>
              <w:rPr>
                <w:spacing w:val="-1"/>
                <w:sz w:val="23"/>
                <w:szCs w:val="23"/>
              </w:rPr>
              <w:t>农药及除草剂，对</w:t>
            </w:r>
          </w:p>
          <w:p w14:paraId="14B31D1E">
            <w:pPr>
              <w:pStyle w:val="6"/>
              <w:spacing w:before="48" w:line="219" w:lineRule="auto"/>
              <w:ind w:left="87"/>
              <w:rPr>
                <w:sz w:val="23"/>
                <w:szCs w:val="23"/>
              </w:rPr>
            </w:pPr>
            <w:r>
              <w:rPr>
                <w:color w:val="405060"/>
                <w:spacing w:val="-2"/>
                <w:sz w:val="23"/>
                <w:szCs w:val="23"/>
              </w:rPr>
              <w:t>饮用水源造成面</w:t>
            </w:r>
          </w:p>
          <w:p w14:paraId="0AB2C7EE">
            <w:pPr>
              <w:pStyle w:val="6"/>
              <w:spacing w:before="37" w:line="210" w:lineRule="auto"/>
              <w:ind w:left="107"/>
              <w:rPr>
                <w:sz w:val="23"/>
                <w:szCs w:val="23"/>
              </w:rPr>
            </w:pPr>
            <w:r>
              <w:rPr>
                <w:spacing w:val="-1"/>
                <w:sz w:val="23"/>
                <w:szCs w:val="23"/>
              </w:rPr>
              <w:t>源污染。</w:t>
            </w:r>
          </w:p>
        </w:tc>
      </w:tr>
      <w:tr w14:paraId="5148A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94" w:type="dxa"/>
            <w:vMerge w:val="restart"/>
            <w:tcBorders>
              <w:bottom w:val="nil"/>
            </w:tcBorders>
            <w:vAlign w:val="top"/>
          </w:tcPr>
          <w:p w14:paraId="27B28DDC">
            <w:pPr>
              <w:spacing w:line="436" w:lineRule="auto"/>
              <w:rPr>
                <w:rFonts w:ascii="Arial"/>
                <w:sz w:val="21"/>
              </w:rPr>
            </w:pPr>
          </w:p>
          <w:p w14:paraId="642F7888">
            <w:pPr>
              <w:pStyle w:val="6"/>
              <w:spacing w:before="74" w:line="219" w:lineRule="auto"/>
              <w:ind w:left="108"/>
              <w:rPr>
                <w:sz w:val="23"/>
                <w:szCs w:val="23"/>
              </w:rPr>
            </w:pPr>
            <w:r>
              <w:rPr>
                <w:b/>
                <w:bCs/>
                <w:color w:val="606060"/>
                <w:spacing w:val="-5"/>
                <w:sz w:val="23"/>
                <w:szCs w:val="23"/>
              </w:rPr>
              <w:t>村庄</w:t>
            </w:r>
          </w:p>
        </w:tc>
        <w:tc>
          <w:tcPr>
            <w:tcW w:w="1558" w:type="dxa"/>
            <w:vAlign w:val="top"/>
          </w:tcPr>
          <w:p w14:paraId="63ABE886">
            <w:pPr>
              <w:pStyle w:val="6"/>
              <w:spacing w:before="208" w:line="219" w:lineRule="auto"/>
              <w:ind w:left="191"/>
              <w:rPr>
                <w:sz w:val="23"/>
                <w:szCs w:val="23"/>
              </w:rPr>
            </w:pPr>
            <w:r>
              <w:rPr>
                <w:spacing w:val="3"/>
                <w:sz w:val="23"/>
                <w:szCs w:val="23"/>
              </w:rPr>
              <w:t>1#水源井东</w:t>
            </w:r>
          </w:p>
        </w:tc>
        <w:tc>
          <w:tcPr>
            <w:tcW w:w="989" w:type="dxa"/>
            <w:vMerge w:val="continue"/>
            <w:tcBorders>
              <w:top w:val="nil"/>
              <w:bottom w:val="nil"/>
            </w:tcBorders>
            <w:vAlign w:val="top"/>
          </w:tcPr>
          <w:p w14:paraId="1145EA5B">
            <w:pPr>
              <w:rPr>
                <w:rFonts w:ascii="Arial"/>
                <w:sz w:val="21"/>
              </w:rPr>
            </w:pPr>
          </w:p>
        </w:tc>
        <w:tc>
          <w:tcPr>
            <w:tcW w:w="1968" w:type="dxa"/>
            <w:vAlign w:val="top"/>
          </w:tcPr>
          <w:p w14:paraId="380B1C28">
            <w:pPr>
              <w:pStyle w:val="6"/>
              <w:spacing w:before="73" w:line="215" w:lineRule="auto"/>
              <w:ind w:left="94" w:right="3"/>
              <w:rPr>
                <w:sz w:val="23"/>
                <w:szCs w:val="23"/>
              </w:rPr>
            </w:pPr>
            <w:r>
              <w:rPr>
                <w:spacing w:val="1"/>
                <w:sz w:val="23"/>
                <w:szCs w:val="23"/>
              </w:rPr>
              <w:t>40°42'47.19"北  110°15'50.89"东</w:t>
            </w:r>
          </w:p>
        </w:tc>
        <w:tc>
          <w:tcPr>
            <w:tcW w:w="1009" w:type="dxa"/>
            <w:vAlign w:val="top"/>
          </w:tcPr>
          <w:p w14:paraId="63788179">
            <w:pPr>
              <w:pStyle w:val="6"/>
              <w:spacing w:before="38" w:line="219" w:lineRule="auto"/>
              <w:ind w:left="155"/>
              <w:rPr>
                <w:sz w:val="23"/>
                <w:szCs w:val="23"/>
              </w:rPr>
            </w:pPr>
            <w:r>
              <w:rPr>
                <w:color w:val="506060"/>
                <w:spacing w:val="3"/>
                <w:sz w:val="23"/>
                <w:szCs w:val="23"/>
              </w:rPr>
              <w:t>木</w:t>
            </w:r>
            <w:r>
              <w:rPr>
                <w:color w:val="405050"/>
                <w:spacing w:val="3"/>
                <w:sz w:val="23"/>
                <w:szCs w:val="23"/>
              </w:rPr>
              <w:t>瓜渠</w:t>
            </w:r>
          </w:p>
          <w:p w14:paraId="3F16CD1E">
            <w:pPr>
              <w:pStyle w:val="6"/>
              <w:spacing w:before="27" w:line="217" w:lineRule="auto"/>
              <w:ind w:left="326"/>
              <w:rPr>
                <w:sz w:val="23"/>
                <w:szCs w:val="23"/>
              </w:rPr>
            </w:pPr>
            <w:r>
              <w:rPr>
                <w:spacing w:val="13"/>
                <w:sz w:val="23"/>
                <w:szCs w:val="23"/>
              </w:rPr>
              <w:t>5户</w:t>
            </w:r>
          </w:p>
        </w:tc>
        <w:tc>
          <w:tcPr>
            <w:tcW w:w="929" w:type="dxa"/>
            <w:vAlign w:val="top"/>
          </w:tcPr>
          <w:p w14:paraId="6AA1A699">
            <w:pPr>
              <w:pStyle w:val="6"/>
              <w:spacing w:before="231" w:line="239" w:lineRule="auto"/>
              <w:ind w:left="167"/>
              <w:rPr>
                <w:sz w:val="23"/>
                <w:szCs w:val="23"/>
              </w:rPr>
            </w:pPr>
            <w:r>
              <w:rPr>
                <w:spacing w:val="-5"/>
                <w:sz w:val="23"/>
                <w:szCs w:val="23"/>
              </w:rPr>
              <w:t>10.16</w:t>
            </w:r>
          </w:p>
        </w:tc>
        <w:tc>
          <w:tcPr>
            <w:tcW w:w="2053" w:type="dxa"/>
            <w:vMerge w:val="restart"/>
            <w:tcBorders>
              <w:bottom w:val="nil"/>
            </w:tcBorders>
            <w:vAlign w:val="top"/>
          </w:tcPr>
          <w:p w14:paraId="26FF2496">
            <w:pPr>
              <w:spacing w:line="301" w:lineRule="auto"/>
              <w:rPr>
                <w:rFonts w:ascii="Arial"/>
                <w:sz w:val="21"/>
              </w:rPr>
            </w:pPr>
          </w:p>
          <w:p w14:paraId="6A08C781">
            <w:pPr>
              <w:pStyle w:val="6"/>
              <w:spacing w:before="75" w:line="219" w:lineRule="auto"/>
              <w:ind w:left="448"/>
              <w:rPr>
                <w:sz w:val="23"/>
                <w:szCs w:val="23"/>
              </w:rPr>
            </w:pPr>
            <w:r>
              <w:rPr>
                <w:color w:val="002020"/>
                <w:spacing w:val="1"/>
                <w:sz w:val="23"/>
                <w:szCs w:val="23"/>
              </w:rPr>
              <w:t>生活污水无</w:t>
            </w:r>
          </w:p>
          <w:p w14:paraId="0EC2176A">
            <w:pPr>
              <w:pStyle w:val="6"/>
              <w:spacing w:before="38" w:line="221" w:lineRule="auto"/>
              <w:ind w:left="558"/>
              <w:rPr>
                <w:sz w:val="23"/>
                <w:szCs w:val="23"/>
              </w:rPr>
            </w:pPr>
            <w:r>
              <w:rPr>
                <w:spacing w:val="2"/>
                <w:sz w:val="23"/>
                <w:szCs w:val="23"/>
              </w:rPr>
              <w:t>处理设施</w:t>
            </w:r>
          </w:p>
        </w:tc>
      </w:tr>
      <w:tr w14:paraId="53835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94" w:type="dxa"/>
            <w:vMerge w:val="continue"/>
            <w:tcBorders>
              <w:top w:val="nil"/>
            </w:tcBorders>
            <w:vAlign w:val="top"/>
          </w:tcPr>
          <w:p w14:paraId="24D11959">
            <w:pPr>
              <w:rPr>
                <w:rFonts w:ascii="Arial"/>
                <w:sz w:val="21"/>
              </w:rPr>
            </w:pPr>
          </w:p>
        </w:tc>
        <w:tc>
          <w:tcPr>
            <w:tcW w:w="1558" w:type="dxa"/>
            <w:vAlign w:val="top"/>
          </w:tcPr>
          <w:p w14:paraId="135D6876">
            <w:pPr>
              <w:pStyle w:val="6"/>
              <w:spacing w:before="213" w:line="223" w:lineRule="auto"/>
              <w:ind w:left="330"/>
              <w:rPr>
                <w:sz w:val="23"/>
                <w:szCs w:val="23"/>
              </w:rPr>
            </w:pPr>
            <w:r>
              <w:rPr>
                <w:spacing w:val="-6"/>
                <w:sz w:val="23"/>
                <w:szCs w:val="23"/>
              </w:rPr>
              <w:t>D</w:t>
            </w:r>
            <w:r>
              <w:rPr>
                <w:spacing w:val="-57"/>
                <w:sz w:val="23"/>
                <w:szCs w:val="23"/>
              </w:rPr>
              <w:t xml:space="preserve"> </w:t>
            </w:r>
            <w:r>
              <w:rPr>
                <w:spacing w:val="-6"/>
                <w:sz w:val="23"/>
                <w:szCs w:val="23"/>
              </w:rPr>
              <w:t>P</w:t>
            </w:r>
            <w:r>
              <w:rPr>
                <w:spacing w:val="-55"/>
                <w:sz w:val="23"/>
                <w:szCs w:val="23"/>
              </w:rPr>
              <w:t xml:space="preserve"> </w:t>
            </w:r>
            <w:r>
              <w:rPr>
                <w:spacing w:val="-6"/>
                <w:sz w:val="23"/>
                <w:szCs w:val="23"/>
              </w:rPr>
              <w:t>-</w:t>
            </w:r>
            <w:r>
              <w:rPr>
                <w:spacing w:val="-50"/>
                <w:sz w:val="23"/>
                <w:szCs w:val="23"/>
              </w:rPr>
              <w:t xml:space="preserve"> </w:t>
            </w:r>
            <w:r>
              <w:rPr>
                <w:spacing w:val="-6"/>
                <w:sz w:val="23"/>
                <w:szCs w:val="23"/>
              </w:rPr>
              <w:t>2</w:t>
            </w:r>
            <w:r>
              <w:rPr>
                <w:spacing w:val="-47"/>
                <w:sz w:val="23"/>
                <w:szCs w:val="23"/>
              </w:rPr>
              <w:t xml:space="preserve"> </w:t>
            </w:r>
            <w:r>
              <w:rPr>
                <w:spacing w:val="-6"/>
                <w:sz w:val="23"/>
                <w:szCs w:val="23"/>
              </w:rPr>
              <w:t>西</w:t>
            </w:r>
          </w:p>
        </w:tc>
        <w:tc>
          <w:tcPr>
            <w:tcW w:w="989" w:type="dxa"/>
            <w:vMerge w:val="continue"/>
            <w:tcBorders>
              <w:top w:val="nil"/>
            </w:tcBorders>
            <w:vAlign w:val="top"/>
          </w:tcPr>
          <w:p w14:paraId="385E0103">
            <w:pPr>
              <w:rPr>
                <w:rFonts w:ascii="Arial"/>
                <w:sz w:val="21"/>
              </w:rPr>
            </w:pPr>
          </w:p>
        </w:tc>
        <w:tc>
          <w:tcPr>
            <w:tcW w:w="1968" w:type="dxa"/>
            <w:vAlign w:val="top"/>
          </w:tcPr>
          <w:p w14:paraId="6E239FCB">
            <w:pPr>
              <w:pStyle w:val="6"/>
              <w:spacing w:before="64" w:line="219" w:lineRule="auto"/>
              <w:ind w:left="103" w:hanging="9"/>
              <w:rPr>
                <w:sz w:val="23"/>
                <w:szCs w:val="23"/>
              </w:rPr>
            </w:pPr>
            <w:r>
              <w:rPr>
                <w:sz w:val="23"/>
                <w:szCs w:val="23"/>
              </w:rPr>
              <w:t>40°43'24.02"北</w:t>
            </w:r>
            <w:r>
              <w:rPr>
                <w:spacing w:val="4"/>
                <w:sz w:val="23"/>
                <w:szCs w:val="23"/>
              </w:rPr>
              <w:t xml:space="preserve">  </w:t>
            </w:r>
            <w:r>
              <w:rPr>
                <w:sz w:val="23"/>
                <w:szCs w:val="23"/>
              </w:rPr>
              <w:t>110°14'57.40"东</w:t>
            </w:r>
          </w:p>
        </w:tc>
        <w:tc>
          <w:tcPr>
            <w:tcW w:w="1009" w:type="dxa"/>
            <w:vAlign w:val="top"/>
          </w:tcPr>
          <w:p w14:paraId="6DAFC0AA">
            <w:pPr>
              <w:pStyle w:val="6"/>
              <w:spacing w:before="39" w:line="229" w:lineRule="auto"/>
              <w:ind w:left="325" w:right="137" w:hanging="170"/>
              <w:rPr>
                <w:sz w:val="23"/>
                <w:szCs w:val="23"/>
              </w:rPr>
            </w:pPr>
            <w:r>
              <w:rPr>
                <w:spacing w:val="5"/>
                <w:sz w:val="23"/>
                <w:szCs w:val="23"/>
              </w:rPr>
              <w:t>腮大坝</w:t>
            </w:r>
            <w:r>
              <w:rPr>
                <w:sz w:val="23"/>
                <w:szCs w:val="23"/>
              </w:rPr>
              <w:t xml:space="preserve"> </w:t>
            </w:r>
            <w:r>
              <w:rPr>
                <w:spacing w:val="13"/>
                <w:sz w:val="23"/>
                <w:szCs w:val="23"/>
              </w:rPr>
              <w:t>9户</w:t>
            </w:r>
          </w:p>
        </w:tc>
        <w:tc>
          <w:tcPr>
            <w:tcW w:w="929" w:type="dxa"/>
            <w:vAlign w:val="top"/>
          </w:tcPr>
          <w:p w14:paraId="25517DE2">
            <w:pPr>
              <w:pStyle w:val="6"/>
              <w:spacing w:before="232" w:line="239" w:lineRule="auto"/>
              <w:ind w:left="167"/>
              <w:rPr>
                <w:sz w:val="23"/>
                <w:szCs w:val="23"/>
              </w:rPr>
            </w:pPr>
            <w:r>
              <w:rPr>
                <w:spacing w:val="-5"/>
                <w:sz w:val="23"/>
                <w:szCs w:val="23"/>
              </w:rPr>
              <w:t>10.12</w:t>
            </w:r>
          </w:p>
        </w:tc>
        <w:tc>
          <w:tcPr>
            <w:tcW w:w="2053" w:type="dxa"/>
            <w:vMerge w:val="continue"/>
            <w:tcBorders>
              <w:top w:val="nil"/>
            </w:tcBorders>
            <w:vAlign w:val="top"/>
          </w:tcPr>
          <w:p w14:paraId="0324F99A">
            <w:pPr>
              <w:rPr>
                <w:rFonts w:ascii="Arial"/>
                <w:sz w:val="21"/>
              </w:rPr>
            </w:pPr>
          </w:p>
        </w:tc>
      </w:tr>
      <w:tr w14:paraId="0D940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9200" w:type="dxa"/>
            <w:gridSpan w:val="7"/>
            <w:vAlign w:val="top"/>
          </w:tcPr>
          <w:p w14:paraId="09113A55">
            <w:pPr>
              <w:pStyle w:val="6"/>
              <w:spacing w:before="58" w:line="227" w:lineRule="auto"/>
              <w:ind w:left="95" w:right="944"/>
              <w:rPr>
                <w:sz w:val="23"/>
                <w:szCs w:val="23"/>
              </w:rPr>
            </w:pPr>
            <w:r>
              <w:rPr>
                <w:spacing w:val="-4"/>
                <w:sz w:val="23"/>
                <w:szCs w:val="23"/>
              </w:rPr>
              <w:t>注</w:t>
            </w:r>
            <w:r>
              <w:rPr>
                <w:spacing w:val="52"/>
                <w:sz w:val="23"/>
                <w:szCs w:val="23"/>
              </w:rPr>
              <w:t xml:space="preserve"> </w:t>
            </w:r>
            <w:r>
              <w:rPr>
                <w:spacing w:val="-4"/>
                <w:sz w:val="23"/>
                <w:szCs w:val="23"/>
              </w:rPr>
              <w:t>：</w:t>
            </w:r>
            <w:r>
              <w:rPr>
                <w:color w:val="405050"/>
                <w:spacing w:val="-4"/>
                <w:sz w:val="23"/>
                <w:szCs w:val="23"/>
              </w:rPr>
              <w:t>NT代表农田，</w:t>
            </w:r>
            <w:r>
              <w:rPr>
                <w:spacing w:val="-4"/>
                <w:sz w:val="23"/>
                <w:szCs w:val="23"/>
              </w:rPr>
              <w:t>DP代表大棚，全部位于二级保护区NT-1、NT-5和CD</w:t>
            </w:r>
            <w:r>
              <w:rPr>
                <w:spacing w:val="-5"/>
                <w:sz w:val="23"/>
                <w:szCs w:val="23"/>
              </w:rPr>
              <w:t>L-1一部分位</w:t>
            </w:r>
            <w:r>
              <w:rPr>
                <w:sz w:val="23"/>
                <w:szCs w:val="23"/>
              </w:rPr>
              <w:t xml:space="preserve"> 于一级保护区，一部分位于二级保护区。</w:t>
            </w:r>
          </w:p>
        </w:tc>
      </w:tr>
    </w:tbl>
    <w:p w14:paraId="3414C93D">
      <w:pPr>
        <w:spacing w:before="99" w:line="218" w:lineRule="auto"/>
        <w:ind w:left="425"/>
        <w:rPr>
          <w:rFonts w:ascii="宋体" w:hAnsi="宋体" w:eastAsia="宋体" w:cs="宋体"/>
          <w:sz w:val="25"/>
          <w:szCs w:val="25"/>
        </w:rPr>
      </w:pPr>
      <w:r>
        <w:rPr>
          <w:rFonts w:ascii="宋体" w:hAnsi="宋体" w:eastAsia="宋体" w:cs="宋体"/>
          <w:spacing w:val="-7"/>
          <w:sz w:val="25"/>
          <w:szCs w:val="25"/>
        </w:rPr>
        <w:t>2.5.</w:t>
      </w:r>
      <w:r>
        <w:rPr>
          <w:rFonts w:ascii="宋体" w:hAnsi="宋体" w:eastAsia="宋体" w:cs="宋体"/>
          <w:b/>
          <w:bCs/>
          <w:color w:val="506060"/>
          <w:spacing w:val="-7"/>
          <w:sz w:val="25"/>
          <w:szCs w:val="25"/>
        </w:rPr>
        <w:t>2风险评估</w:t>
      </w:r>
    </w:p>
    <w:p w14:paraId="696FC46F">
      <w:pPr>
        <w:spacing w:before="188" w:line="219" w:lineRule="auto"/>
        <w:ind w:left="925"/>
        <w:rPr>
          <w:rFonts w:ascii="宋体" w:hAnsi="宋体" w:eastAsia="宋体" w:cs="宋体"/>
          <w:sz w:val="24"/>
          <w:szCs w:val="24"/>
        </w:rPr>
      </w:pPr>
      <w:r>
        <w:rPr>
          <w:rFonts w:ascii="宋体" w:hAnsi="宋体" w:eastAsia="宋体" w:cs="宋体"/>
          <w:color w:val="506060"/>
          <w:sz w:val="24"/>
          <w:szCs w:val="24"/>
        </w:rPr>
        <w:t>包头市石拐区集中式饮用水水源保护区内农田水</w:t>
      </w:r>
      <w:r>
        <w:rPr>
          <w:rFonts w:ascii="宋体" w:hAnsi="宋体" w:eastAsia="宋体" w:cs="宋体"/>
          <w:color w:val="506060"/>
          <w:spacing w:val="-1"/>
          <w:sz w:val="24"/>
          <w:szCs w:val="24"/>
        </w:rPr>
        <w:t>流失和村庄生活污水入渗</w:t>
      </w:r>
    </w:p>
    <w:p w14:paraId="1019DE5E">
      <w:pPr>
        <w:spacing w:line="219" w:lineRule="auto"/>
        <w:rPr>
          <w:rFonts w:ascii="宋体" w:hAnsi="宋体" w:eastAsia="宋体" w:cs="宋体"/>
          <w:sz w:val="24"/>
          <w:szCs w:val="24"/>
        </w:rPr>
        <w:sectPr>
          <w:footerReference r:id="rId51" w:type="default"/>
          <w:pgSz w:w="11910" w:h="16850"/>
          <w:pgMar w:top="1432" w:right="1395" w:bottom="1448" w:left="1304" w:header="0" w:footer="1216" w:gutter="0"/>
          <w:cols w:space="720" w:num="1"/>
        </w:sectPr>
      </w:pPr>
    </w:p>
    <w:p w14:paraId="08693BC3">
      <w:pPr>
        <w:spacing w:before="46" w:line="357" w:lineRule="auto"/>
        <w:ind w:left="415" w:right="455"/>
        <w:jc w:val="both"/>
        <w:rPr>
          <w:rFonts w:ascii="宋体" w:hAnsi="宋体" w:eastAsia="宋体" w:cs="宋体"/>
          <w:sz w:val="24"/>
          <w:szCs w:val="24"/>
        </w:rPr>
      </w:pPr>
      <w:r>
        <w:rPr>
          <w:rFonts w:ascii="宋体" w:hAnsi="宋体" w:eastAsia="宋体" w:cs="宋体"/>
          <w:color w:val="506060"/>
          <w:spacing w:val="-2"/>
          <w:sz w:val="24"/>
          <w:szCs w:val="24"/>
        </w:rPr>
        <w:t>路发生溢流扩散，当流出道路范围时，还会向地下渗流。油的渗透性与油的性质</w:t>
      </w:r>
      <w:r>
        <w:rPr>
          <w:rFonts w:ascii="宋体" w:hAnsi="宋体" w:eastAsia="宋体" w:cs="宋体"/>
          <w:color w:val="506060"/>
          <w:spacing w:val="15"/>
          <w:sz w:val="24"/>
          <w:szCs w:val="24"/>
        </w:rPr>
        <w:t xml:space="preserve"> </w:t>
      </w:r>
      <w:r>
        <w:rPr>
          <w:rFonts w:ascii="宋体" w:hAnsi="宋体" w:eastAsia="宋体" w:cs="宋体"/>
          <w:color w:val="506060"/>
          <w:spacing w:val="-2"/>
          <w:sz w:val="24"/>
          <w:szCs w:val="24"/>
        </w:rPr>
        <w:t>有关，低粘度的油比高粘度的油渗透快，在高渗透层中主要是垂直方向渗透，而</w:t>
      </w:r>
      <w:r>
        <w:rPr>
          <w:rFonts w:ascii="宋体" w:hAnsi="宋体" w:eastAsia="宋体" w:cs="宋体"/>
          <w:color w:val="506060"/>
          <w:spacing w:val="1"/>
          <w:sz w:val="24"/>
          <w:szCs w:val="24"/>
        </w:rPr>
        <w:t xml:space="preserve"> </w:t>
      </w:r>
      <w:r>
        <w:rPr>
          <w:rFonts w:ascii="宋体" w:hAnsi="宋体" w:eastAsia="宋体" w:cs="宋体"/>
          <w:color w:val="506060"/>
          <w:spacing w:val="-2"/>
          <w:sz w:val="24"/>
          <w:szCs w:val="24"/>
        </w:rPr>
        <w:t>在低渗透层中毛细作用是主要迁移作用。当泄露事故发生在饮用水水源保护区范</w:t>
      </w:r>
      <w:r>
        <w:rPr>
          <w:rFonts w:ascii="宋体" w:hAnsi="宋体" w:eastAsia="宋体" w:cs="宋体"/>
          <w:color w:val="506060"/>
          <w:spacing w:val="3"/>
          <w:sz w:val="24"/>
          <w:szCs w:val="24"/>
        </w:rPr>
        <w:t xml:space="preserve"> </w:t>
      </w:r>
      <w:r>
        <w:rPr>
          <w:rFonts w:ascii="宋体" w:hAnsi="宋体" w:eastAsia="宋体" w:cs="宋体"/>
          <w:color w:val="506060"/>
          <w:spacing w:val="-1"/>
          <w:sz w:val="24"/>
          <w:szCs w:val="24"/>
        </w:rPr>
        <w:t>围内时，油污染的涡流在井中会被地下水稀释，形成有限补给带，凡在补给带内</w:t>
      </w:r>
      <w:r>
        <w:rPr>
          <w:rFonts w:ascii="宋体" w:hAnsi="宋体" w:eastAsia="宋体" w:cs="宋体"/>
          <w:color w:val="506060"/>
          <w:spacing w:val="3"/>
          <w:sz w:val="24"/>
          <w:szCs w:val="24"/>
        </w:rPr>
        <w:t xml:space="preserve"> </w:t>
      </w:r>
      <w:r>
        <w:rPr>
          <w:rFonts w:ascii="宋体" w:hAnsi="宋体" w:eastAsia="宋体" w:cs="宋体"/>
          <w:color w:val="506060"/>
          <w:spacing w:val="-1"/>
          <w:sz w:val="24"/>
          <w:szCs w:val="24"/>
        </w:rPr>
        <w:t>的渗漏含油污水都有可能进入水源地而污染地下水。</w:t>
      </w:r>
    </w:p>
    <w:p w14:paraId="7D96A7B7">
      <w:pPr>
        <w:spacing w:before="48" w:line="218" w:lineRule="auto"/>
        <w:ind w:left="419"/>
        <w:rPr>
          <w:rFonts w:ascii="宋体" w:hAnsi="宋体" w:eastAsia="宋体" w:cs="宋体"/>
          <w:sz w:val="31"/>
          <w:szCs w:val="31"/>
        </w:rPr>
      </w:pPr>
      <w:r>
        <w:rPr>
          <w:rFonts w:ascii="宋体" w:hAnsi="宋体" w:eastAsia="宋体" w:cs="宋体"/>
          <w:b/>
          <w:bCs/>
          <w:color w:val="506060"/>
          <w:spacing w:val="-21"/>
          <w:sz w:val="31"/>
          <w:szCs w:val="31"/>
        </w:rPr>
        <w:t>2.5非点源调查与风险评估</w:t>
      </w:r>
    </w:p>
    <w:p w14:paraId="3779AAF6">
      <w:pPr>
        <w:spacing w:before="234" w:line="219" w:lineRule="auto"/>
        <w:ind w:left="415"/>
        <w:rPr>
          <w:rFonts w:ascii="宋体" w:hAnsi="宋体" w:eastAsia="宋体" w:cs="宋体"/>
          <w:sz w:val="24"/>
          <w:szCs w:val="24"/>
        </w:rPr>
      </w:pPr>
      <w:r>
        <w:rPr>
          <w:rFonts w:ascii="宋体" w:hAnsi="宋体" w:eastAsia="宋体" w:cs="宋体"/>
          <w:color w:val="506060"/>
          <w:spacing w:val="1"/>
          <w:sz w:val="24"/>
          <w:szCs w:val="24"/>
        </w:rPr>
        <w:t>2.5.</w:t>
      </w:r>
      <w:r>
        <w:rPr>
          <w:rFonts w:ascii="宋体" w:hAnsi="宋体" w:eastAsia="宋体" w:cs="宋体"/>
          <w:b/>
          <w:bCs/>
          <w:color w:val="506060"/>
          <w:spacing w:val="1"/>
          <w:sz w:val="24"/>
          <w:szCs w:val="24"/>
        </w:rPr>
        <w:t>1调查内容</w:t>
      </w:r>
    </w:p>
    <w:p w14:paraId="526A17EC">
      <w:pPr>
        <w:spacing w:before="175" w:line="363" w:lineRule="auto"/>
        <w:ind w:left="415" w:right="462" w:firstLine="499"/>
        <w:jc w:val="both"/>
        <w:rPr>
          <w:rFonts w:ascii="宋体" w:hAnsi="宋体" w:eastAsia="宋体" w:cs="宋体"/>
          <w:sz w:val="24"/>
          <w:szCs w:val="24"/>
        </w:rPr>
      </w:pPr>
      <w:r>
        <w:rPr>
          <w:rFonts w:ascii="宋体" w:hAnsi="宋体" w:eastAsia="宋体" w:cs="宋体"/>
          <w:color w:val="506060"/>
          <w:spacing w:val="2"/>
          <w:sz w:val="24"/>
          <w:szCs w:val="24"/>
        </w:rPr>
        <w:t>根据《包头市石拐区集中式饮用水水源保护区调整技术报告》,</w:t>
      </w:r>
      <w:r>
        <w:rPr>
          <w:rFonts w:ascii="宋体" w:hAnsi="宋体" w:eastAsia="宋体" w:cs="宋体"/>
          <w:color w:val="506060"/>
          <w:spacing w:val="1"/>
          <w:sz w:val="24"/>
          <w:szCs w:val="24"/>
        </w:rPr>
        <w:t>本水源地一</w:t>
      </w:r>
      <w:r>
        <w:rPr>
          <w:rFonts w:ascii="宋体" w:hAnsi="宋体" w:eastAsia="宋体" w:cs="宋体"/>
          <w:color w:val="506060"/>
          <w:sz w:val="24"/>
          <w:szCs w:val="24"/>
        </w:rPr>
        <w:t xml:space="preserve"> </w:t>
      </w:r>
      <w:r>
        <w:rPr>
          <w:rFonts w:ascii="宋体" w:hAnsi="宋体" w:eastAsia="宋体" w:cs="宋体"/>
          <w:color w:val="506060"/>
          <w:spacing w:val="-2"/>
          <w:sz w:val="24"/>
          <w:szCs w:val="24"/>
        </w:rPr>
        <w:t>级保护区内存在农田，二级保护区内存在农田农田、蔬菜大棚、林地和村庄等情</w:t>
      </w:r>
      <w:r>
        <w:rPr>
          <w:rFonts w:ascii="宋体" w:hAnsi="宋体" w:eastAsia="宋体" w:cs="宋体"/>
          <w:color w:val="506060"/>
          <w:sz w:val="24"/>
          <w:szCs w:val="24"/>
        </w:rPr>
        <w:t xml:space="preserve"> </w:t>
      </w:r>
      <w:r>
        <w:rPr>
          <w:rFonts w:ascii="宋体" w:hAnsi="宋体" w:eastAsia="宋体" w:cs="宋体"/>
          <w:color w:val="606070"/>
          <w:spacing w:val="-2"/>
          <w:sz w:val="24"/>
          <w:szCs w:val="24"/>
        </w:rPr>
        <w:t>况。非点源污染主要来自于农业种植过</w:t>
      </w:r>
      <w:r>
        <w:rPr>
          <w:rFonts w:ascii="宋体" w:hAnsi="宋体" w:eastAsia="宋体" w:cs="宋体"/>
          <w:color w:val="506060"/>
          <w:spacing w:val="-2"/>
          <w:sz w:val="24"/>
          <w:szCs w:val="24"/>
        </w:rPr>
        <w:t>程中使用化肥、农药造成的农业面源污染</w:t>
      </w:r>
      <w:r>
        <w:rPr>
          <w:rFonts w:ascii="宋体" w:hAnsi="宋体" w:eastAsia="宋体" w:cs="宋体"/>
          <w:color w:val="506060"/>
          <w:sz w:val="24"/>
          <w:szCs w:val="24"/>
        </w:rPr>
        <w:t xml:space="preserve"> </w:t>
      </w:r>
      <w:r>
        <w:rPr>
          <w:rFonts w:ascii="宋体" w:hAnsi="宋体" w:eastAsia="宋体" w:cs="宋体"/>
          <w:color w:val="506060"/>
          <w:spacing w:val="-1"/>
          <w:sz w:val="24"/>
          <w:szCs w:val="24"/>
        </w:rPr>
        <w:t>和村庄生活污水分散处理或灌溉喷洒造成的农村生活污染源。</w:t>
      </w:r>
    </w:p>
    <w:p w14:paraId="0EAB1717">
      <w:pPr>
        <w:spacing w:before="4" w:line="364" w:lineRule="auto"/>
        <w:ind w:left="415" w:right="493" w:firstLine="509"/>
        <w:rPr>
          <w:rFonts w:ascii="宋体" w:hAnsi="宋体" w:eastAsia="宋体" w:cs="宋体"/>
          <w:sz w:val="24"/>
          <w:szCs w:val="24"/>
        </w:rPr>
      </w:pPr>
      <w:r>
        <w:rPr>
          <w:rFonts w:ascii="宋体" w:hAnsi="宋体" w:eastAsia="宋体" w:cs="宋体"/>
          <w:color w:val="506060"/>
          <w:spacing w:val="-3"/>
          <w:sz w:val="24"/>
          <w:szCs w:val="24"/>
        </w:rPr>
        <w:t>石拐区集中式饮用水水源保护区范围内农田、蔬菜大棚、林地和村庄分布情</w:t>
      </w:r>
      <w:r>
        <w:rPr>
          <w:rFonts w:ascii="宋体" w:hAnsi="宋体" w:eastAsia="宋体" w:cs="宋体"/>
          <w:color w:val="506060"/>
          <w:sz w:val="24"/>
          <w:szCs w:val="24"/>
        </w:rPr>
        <w:t xml:space="preserve"> </w:t>
      </w:r>
      <w:r>
        <w:rPr>
          <w:rFonts w:ascii="宋体" w:hAnsi="宋体" w:eastAsia="宋体" w:cs="宋体"/>
          <w:color w:val="506060"/>
          <w:spacing w:val="-4"/>
          <w:sz w:val="24"/>
          <w:szCs w:val="24"/>
        </w:rPr>
        <w:t>况见表2-2。</w:t>
      </w:r>
    </w:p>
    <w:p w14:paraId="0CAC3558">
      <w:pPr>
        <w:spacing w:before="10" w:line="219" w:lineRule="auto"/>
        <w:ind w:left="1528"/>
        <w:rPr>
          <w:rFonts w:ascii="宋体" w:hAnsi="宋体" w:eastAsia="宋体" w:cs="宋体"/>
          <w:sz w:val="26"/>
          <w:szCs w:val="26"/>
        </w:rPr>
      </w:pPr>
      <w:r>
        <w:rPr>
          <w:rFonts w:ascii="宋体" w:hAnsi="宋体" w:eastAsia="宋体" w:cs="宋体"/>
          <w:b/>
          <w:bCs/>
          <w:color w:val="506060"/>
          <w:spacing w:val="-19"/>
          <w:sz w:val="26"/>
          <w:szCs w:val="26"/>
        </w:rPr>
        <w:t>表2-2</w:t>
      </w:r>
      <w:r>
        <w:rPr>
          <w:rFonts w:ascii="宋体" w:hAnsi="宋体" w:eastAsia="宋体" w:cs="宋体"/>
          <w:color w:val="506060"/>
          <w:spacing w:val="-19"/>
          <w:sz w:val="26"/>
          <w:szCs w:val="26"/>
        </w:rPr>
        <w:t xml:space="preserve">  </w:t>
      </w:r>
      <w:r>
        <w:rPr>
          <w:rFonts w:ascii="宋体" w:hAnsi="宋体" w:eastAsia="宋体" w:cs="宋体"/>
          <w:b/>
          <w:bCs/>
          <w:color w:val="506060"/>
          <w:spacing w:val="-19"/>
          <w:sz w:val="26"/>
          <w:szCs w:val="26"/>
        </w:rPr>
        <w:t>石拐区集中式饮用水水源保护区非点污染源分布情况表</w:t>
      </w:r>
    </w:p>
    <w:p w14:paraId="6123251B">
      <w:pPr>
        <w:spacing w:line="41" w:lineRule="exact"/>
      </w:pPr>
    </w:p>
    <w:tbl>
      <w:tblPr>
        <w:tblStyle w:val="5"/>
        <w:tblW w:w="92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548"/>
        <w:gridCol w:w="989"/>
        <w:gridCol w:w="1978"/>
        <w:gridCol w:w="1009"/>
        <w:gridCol w:w="939"/>
        <w:gridCol w:w="2063"/>
      </w:tblGrid>
      <w:tr w14:paraId="5140E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Align w:val="top"/>
          </w:tcPr>
          <w:p w14:paraId="08426566">
            <w:pPr>
              <w:pStyle w:val="6"/>
              <w:spacing w:before="191" w:line="219" w:lineRule="auto"/>
              <w:ind w:left="108"/>
              <w:rPr>
                <w:sz w:val="24"/>
                <w:szCs w:val="24"/>
              </w:rPr>
            </w:pPr>
            <w:r>
              <w:rPr>
                <w:b/>
                <w:bCs/>
                <w:color w:val="405050"/>
                <w:spacing w:val="-3"/>
                <w:sz w:val="24"/>
                <w:szCs w:val="24"/>
              </w:rPr>
              <w:t>内</w:t>
            </w:r>
            <w:r>
              <w:rPr>
                <w:b/>
                <w:bCs/>
                <w:spacing w:val="-3"/>
                <w:sz w:val="24"/>
                <w:szCs w:val="24"/>
              </w:rPr>
              <w:t>容</w:t>
            </w:r>
          </w:p>
        </w:tc>
        <w:tc>
          <w:tcPr>
            <w:tcW w:w="1548" w:type="dxa"/>
            <w:vAlign w:val="top"/>
          </w:tcPr>
          <w:p w14:paraId="3954E1D9">
            <w:pPr>
              <w:pStyle w:val="6"/>
              <w:spacing w:before="192" w:line="220" w:lineRule="auto"/>
              <w:ind w:left="284"/>
              <w:rPr>
                <w:sz w:val="24"/>
                <w:szCs w:val="24"/>
              </w:rPr>
            </w:pPr>
            <w:r>
              <w:rPr>
                <w:b/>
                <w:bCs/>
                <w:spacing w:val="-5"/>
                <w:sz w:val="24"/>
                <w:szCs w:val="24"/>
              </w:rPr>
              <w:t>位</w:t>
            </w:r>
            <w:r>
              <w:rPr>
                <w:b/>
                <w:bCs/>
                <w:color w:val="505060"/>
                <w:spacing w:val="-5"/>
                <w:sz w:val="24"/>
                <w:szCs w:val="24"/>
              </w:rPr>
              <w:t>置关</w:t>
            </w:r>
            <w:r>
              <w:rPr>
                <w:b/>
                <w:bCs/>
                <w:spacing w:val="-5"/>
                <w:sz w:val="24"/>
                <w:szCs w:val="24"/>
              </w:rPr>
              <w:t>系</w:t>
            </w:r>
          </w:p>
        </w:tc>
        <w:tc>
          <w:tcPr>
            <w:tcW w:w="989" w:type="dxa"/>
            <w:vAlign w:val="top"/>
          </w:tcPr>
          <w:p w14:paraId="05102C58">
            <w:pPr>
              <w:pStyle w:val="6"/>
              <w:spacing w:before="12" w:line="220" w:lineRule="auto"/>
              <w:ind w:left="126"/>
              <w:rPr>
                <w:sz w:val="24"/>
                <w:szCs w:val="24"/>
              </w:rPr>
            </w:pPr>
            <w:r>
              <w:rPr>
                <w:b/>
                <w:bCs/>
                <w:spacing w:val="2"/>
                <w:sz w:val="24"/>
                <w:szCs w:val="24"/>
              </w:rPr>
              <w:t>保护区</w:t>
            </w:r>
          </w:p>
          <w:p w14:paraId="7C1A4CAA">
            <w:pPr>
              <w:pStyle w:val="6"/>
              <w:spacing w:before="42" w:line="210" w:lineRule="auto"/>
              <w:ind w:left="246"/>
              <w:rPr>
                <w:sz w:val="24"/>
                <w:szCs w:val="24"/>
              </w:rPr>
            </w:pPr>
            <w:r>
              <w:rPr>
                <w:b/>
                <w:bCs/>
                <w:color w:val="506060"/>
                <w:spacing w:val="-6"/>
                <w:sz w:val="24"/>
                <w:szCs w:val="24"/>
              </w:rPr>
              <w:t>等级</w:t>
            </w:r>
          </w:p>
        </w:tc>
        <w:tc>
          <w:tcPr>
            <w:tcW w:w="1978" w:type="dxa"/>
            <w:vAlign w:val="top"/>
          </w:tcPr>
          <w:p w14:paraId="4A2EFF7E">
            <w:pPr>
              <w:pStyle w:val="6"/>
              <w:spacing w:before="192" w:line="220" w:lineRule="auto"/>
              <w:ind w:left="737"/>
              <w:rPr>
                <w:sz w:val="24"/>
                <w:szCs w:val="24"/>
              </w:rPr>
            </w:pPr>
            <w:r>
              <w:rPr>
                <w:b/>
                <w:bCs/>
                <w:spacing w:val="-6"/>
                <w:sz w:val="24"/>
                <w:szCs w:val="24"/>
              </w:rPr>
              <w:t>坐标</w:t>
            </w:r>
          </w:p>
        </w:tc>
        <w:tc>
          <w:tcPr>
            <w:tcW w:w="1009" w:type="dxa"/>
            <w:vAlign w:val="top"/>
          </w:tcPr>
          <w:p w14:paraId="4C969DDF">
            <w:pPr>
              <w:pStyle w:val="6"/>
              <w:spacing w:before="191" w:line="219" w:lineRule="auto"/>
              <w:ind w:left="259"/>
              <w:rPr>
                <w:sz w:val="24"/>
                <w:szCs w:val="24"/>
              </w:rPr>
            </w:pPr>
            <w:r>
              <w:rPr>
                <w:b/>
                <w:bCs/>
                <w:color w:val="505050"/>
                <w:spacing w:val="-6"/>
                <w:sz w:val="24"/>
                <w:szCs w:val="24"/>
              </w:rPr>
              <w:t>编号</w:t>
            </w:r>
          </w:p>
        </w:tc>
        <w:tc>
          <w:tcPr>
            <w:tcW w:w="939" w:type="dxa"/>
            <w:vAlign w:val="top"/>
          </w:tcPr>
          <w:p w14:paraId="1BC2D115">
            <w:pPr>
              <w:pStyle w:val="6"/>
              <w:spacing w:before="22" w:line="220" w:lineRule="auto"/>
              <w:ind w:left="230"/>
              <w:rPr>
                <w:sz w:val="24"/>
                <w:szCs w:val="24"/>
              </w:rPr>
            </w:pPr>
            <w:r>
              <w:rPr>
                <w:b/>
                <w:bCs/>
                <w:spacing w:val="-6"/>
                <w:sz w:val="24"/>
                <w:szCs w:val="24"/>
              </w:rPr>
              <w:t>面积</w:t>
            </w:r>
          </w:p>
          <w:p w14:paraId="1AB54946">
            <w:pPr>
              <w:pStyle w:val="6"/>
              <w:spacing w:before="23" w:line="217" w:lineRule="auto"/>
              <w:ind w:left="230"/>
              <w:rPr>
                <w:sz w:val="24"/>
                <w:szCs w:val="24"/>
              </w:rPr>
            </w:pPr>
            <w:r>
              <w:rPr>
                <w:b/>
                <w:bCs/>
                <w:color w:val="001020"/>
                <w:spacing w:val="-5"/>
                <w:sz w:val="24"/>
                <w:szCs w:val="24"/>
              </w:rPr>
              <w:t>(</w:t>
            </w:r>
            <w:r>
              <w:rPr>
                <w:color w:val="001020"/>
                <w:spacing w:val="-68"/>
                <w:sz w:val="24"/>
                <w:szCs w:val="24"/>
              </w:rPr>
              <w:t xml:space="preserve"> </w:t>
            </w:r>
            <w:r>
              <w:rPr>
                <w:b/>
                <w:bCs/>
                <w:color w:val="304040"/>
                <w:spacing w:val="-5"/>
                <w:sz w:val="24"/>
                <w:szCs w:val="24"/>
              </w:rPr>
              <w:t>亩)</w:t>
            </w:r>
          </w:p>
        </w:tc>
        <w:tc>
          <w:tcPr>
            <w:tcW w:w="2063" w:type="dxa"/>
            <w:vAlign w:val="top"/>
          </w:tcPr>
          <w:p w14:paraId="4F3802A4">
            <w:pPr>
              <w:pStyle w:val="6"/>
              <w:spacing w:before="191" w:line="219" w:lineRule="auto"/>
              <w:ind w:left="551"/>
              <w:rPr>
                <w:sz w:val="24"/>
                <w:szCs w:val="24"/>
              </w:rPr>
            </w:pPr>
            <w:r>
              <w:rPr>
                <w:b/>
                <w:bCs/>
                <w:color w:val="505060"/>
                <w:spacing w:val="2"/>
                <w:sz w:val="24"/>
                <w:szCs w:val="24"/>
              </w:rPr>
              <w:t>存在问</w:t>
            </w:r>
            <w:r>
              <w:rPr>
                <w:b/>
                <w:bCs/>
                <w:spacing w:val="2"/>
                <w:sz w:val="24"/>
                <w:szCs w:val="24"/>
              </w:rPr>
              <w:t>题</w:t>
            </w:r>
          </w:p>
        </w:tc>
      </w:tr>
      <w:tr w14:paraId="4B1B7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704" w:type="dxa"/>
            <w:vMerge w:val="restart"/>
            <w:tcBorders>
              <w:bottom w:val="nil"/>
            </w:tcBorders>
            <w:vAlign w:val="top"/>
          </w:tcPr>
          <w:p w14:paraId="72689175">
            <w:pPr>
              <w:spacing w:line="245" w:lineRule="auto"/>
              <w:rPr>
                <w:rFonts w:ascii="Arial"/>
                <w:sz w:val="21"/>
              </w:rPr>
            </w:pPr>
          </w:p>
          <w:p w14:paraId="3D25CF8F">
            <w:pPr>
              <w:spacing w:line="245" w:lineRule="auto"/>
              <w:rPr>
                <w:rFonts w:ascii="Arial"/>
                <w:sz w:val="21"/>
              </w:rPr>
            </w:pPr>
          </w:p>
          <w:p w14:paraId="3A039111">
            <w:pPr>
              <w:spacing w:line="245" w:lineRule="auto"/>
              <w:rPr>
                <w:rFonts w:ascii="Arial"/>
                <w:sz w:val="21"/>
              </w:rPr>
            </w:pPr>
          </w:p>
          <w:p w14:paraId="3940B19D">
            <w:pPr>
              <w:spacing w:line="245" w:lineRule="auto"/>
              <w:rPr>
                <w:rFonts w:ascii="Arial"/>
                <w:sz w:val="21"/>
              </w:rPr>
            </w:pPr>
          </w:p>
          <w:p w14:paraId="43976C46">
            <w:pPr>
              <w:spacing w:line="245" w:lineRule="auto"/>
              <w:rPr>
                <w:rFonts w:ascii="Arial"/>
                <w:sz w:val="21"/>
              </w:rPr>
            </w:pPr>
          </w:p>
          <w:p w14:paraId="72CCA225">
            <w:pPr>
              <w:spacing w:line="245" w:lineRule="auto"/>
              <w:rPr>
                <w:rFonts w:ascii="Arial"/>
                <w:sz w:val="21"/>
              </w:rPr>
            </w:pPr>
          </w:p>
          <w:p w14:paraId="57176C9A">
            <w:pPr>
              <w:spacing w:line="245" w:lineRule="auto"/>
              <w:rPr>
                <w:rFonts w:ascii="Arial"/>
                <w:sz w:val="21"/>
              </w:rPr>
            </w:pPr>
          </w:p>
          <w:p w14:paraId="242DFD13">
            <w:pPr>
              <w:spacing w:line="245" w:lineRule="auto"/>
              <w:rPr>
                <w:rFonts w:ascii="Arial"/>
                <w:sz w:val="21"/>
              </w:rPr>
            </w:pPr>
          </w:p>
          <w:p w14:paraId="348824FD">
            <w:pPr>
              <w:spacing w:line="246" w:lineRule="auto"/>
              <w:rPr>
                <w:rFonts w:ascii="Arial"/>
                <w:sz w:val="21"/>
              </w:rPr>
            </w:pPr>
          </w:p>
          <w:p w14:paraId="04259509">
            <w:pPr>
              <w:spacing w:line="246" w:lineRule="auto"/>
              <w:rPr>
                <w:rFonts w:ascii="Arial"/>
                <w:sz w:val="21"/>
              </w:rPr>
            </w:pPr>
          </w:p>
          <w:p w14:paraId="21C78BA8">
            <w:pPr>
              <w:spacing w:line="246" w:lineRule="auto"/>
              <w:rPr>
                <w:rFonts w:ascii="Arial"/>
                <w:sz w:val="21"/>
              </w:rPr>
            </w:pPr>
          </w:p>
          <w:p w14:paraId="354169BF">
            <w:pPr>
              <w:spacing w:line="246" w:lineRule="auto"/>
              <w:rPr>
                <w:rFonts w:ascii="Arial"/>
                <w:sz w:val="21"/>
              </w:rPr>
            </w:pPr>
          </w:p>
          <w:p w14:paraId="116D1F08">
            <w:pPr>
              <w:pStyle w:val="6"/>
              <w:spacing w:before="78" w:line="221" w:lineRule="auto"/>
              <w:ind w:left="108"/>
              <w:rPr>
                <w:sz w:val="24"/>
                <w:szCs w:val="24"/>
              </w:rPr>
            </w:pPr>
            <w:r>
              <w:rPr>
                <w:b/>
                <w:bCs/>
                <w:spacing w:val="9"/>
                <w:sz w:val="24"/>
                <w:szCs w:val="24"/>
              </w:rPr>
              <w:t>农田</w:t>
            </w:r>
          </w:p>
        </w:tc>
        <w:tc>
          <w:tcPr>
            <w:tcW w:w="1548" w:type="dxa"/>
            <w:vAlign w:val="top"/>
          </w:tcPr>
          <w:p w14:paraId="301D30A8">
            <w:pPr>
              <w:spacing w:line="261" w:lineRule="auto"/>
              <w:rPr>
                <w:rFonts w:ascii="Arial"/>
                <w:sz w:val="21"/>
              </w:rPr>
            </w:pPr>
          </w:p>
          <w:p w14:paraId="055F290F">
            <w:pPr>
              <w:pStyle w:val="6"/>
              <w:spacing w:before="78" w:line="269" w:lineRule="auto"/>
              <w:ind w:left="640" w:right="158" w:hanging="479"/>
              <w:rPr>
                <w:sz w:val="24"/>
                <w:szCs w:val="24"/>
              </w:rPr>
            </w:pPr>
            <w:r>
              <w:rPr>
                <w:spacing w:val="3"/>
                <w:sz w:val="24"/>
                <w:szCs w:val="24"/>
              </w:rPr>
              <w:t>1#水源井西</w:t>
            </w:r>
            <w:r>
              <w:rPr>
                <w:sz w:val="24"/>
                <w:szCs w:val="24"/>
              </w:rPr>
              <w:t xml:space="preserve"> 北</w:t>
            </w:r>
          </w:p>
        </w:tc>
        <w:tc>
          <w:tcPr>
            <w:tcW w:w="989" w:type="dxa"/>
            <w:vMerge w:val="restart"/>
            <w:tcBorders>
              <w:bottom w:val="nil"/>
            </w:tcBorders>
            <w:vAlign w:val="top"/>
          </w:tcPr>
          <w:p w14:paraId="2DDD0581">
            <w:pPr>
              <w:spacing w:line="252" w:lineRule="auto"/>
              <w:rPr>
                <w:rFonts w:ascii="Arial"/>
                <w:sz w:val="21"/>
              </w:rPr>
            </w:pPr>
          </w:p>
          <w:p w14:paraId="2116A52A">
            <w:pPr>
              <w:spacing w:line="252" w:lineRule="auto"/>
              <w:rPr>
                <w:rFonts w:ascii="Arial"/>
                <w:sz w:val="21"/>
              </w:rPr>
            </w:pPr>
          </w:p>
          <w:p w14:paraId="37475B8E">
            <w:pPr>
              <w:spacing w:line="252" w:lineRule="auto"/>
              <w:rPr>
                <w:rFonts w:ascii="Arial"/>
                <w:sz w:val="21"/>
              </w:rPr>
            </w:pPr>
          </w:p>
          <w:p w14:paraId="705CBF56">
            <w:pPr>
              <w:spacing w:line="253" w:lineRule="auto"/>
              <w:rPr>
                <w:rFonts w:ascii="Arial"/>
                <w:sz w:val="21"/>
              </w:rPr>
            </w:pPr>
          </w:p>
          <w:p w14:paraId="496973D1">
            <w:pPr>
              <w:spacing w:line="253" w:lineRule="auto"/>
              <w:rPr>
                <w:rFonts w:ascii="Arial"/>
                <w:sz w:val="21"/>
              </w:rPr>
            </w:pPr>
          </w:p>
          <w:p w14:paraId="56A3C512">
            <w:pPr>
              <w:spacing w:line="253" w:lineRule="auto"/>
              <w:rPr>
                <w:rFonts w:ascii="Arial"/>
                <w:sz w:val="21"/>
              </w:rPr>
            </w:pPr>
          </w:p>
          <w:p w14:paraId="69504251">
            <w:pPr>
              <w:pStyle w:val="6"/>
              <w:spacing w:before="78" w:line="255" w:lineRule="auto"/>
              <w:ind w:left="122" w:right="115" w:firstLine="120"/>
              <w:rPr>
                <w:sz w:val="24"/>
                <w:szCs w:val="24"/>
              </w:rPr>
            </w:pPr>
            <w:r>
              <w:rPr>
                <w:spacing w:val="7"/>
                <w:sz w:val="24"/>
                <w:szCs w:val="24"/>
              </w:rPr>
              <w:t>一级</w:t>
            </w:r>
            <w:r>
              <w:rPr>
                <w:sz w:val="24"/>
                <w:szCs w:val="24"/>
              </w:rPr>
              <w:t xml:space="preserve">  </w:t>
            </w:r>
            <w:r>
              <w:rPr>
                <w:spacing w:val="6"/>
                <w:sz w:val="24"/>
                <w:szCs w:val="24"/>
              </w:rPr>
              <w:t>保护区</w:t>
            </w:r>
          </w:p>
        </w:tc>
        <w:tc>
          <w:tcPr>
            <w:tcW w:w="1978" w:type="dxa"/>
            <w:vAlign w:val="top"/>
          </w:tcPr>
          <w:p w14:paraId="13FD963A">
            <w:pPr>
              <w:pStyle w:val="6"/>
              <w:spacing w:before="44" w:line="224" w:lineRule="auto"/>
              <w:ind w:left="94"/>
              <w:rPr>
                <w:sz w:val="24"/>
                <w:szCs w:val="24"/>
              </w:rPr>
            </w:pPr>
            <w:r>
              <w:rPr>
                <w:spacing w:val="-1"/>
                <w:sz w:val="24"/>
                <w:szCs w:val="24"/>
              </w:rPr>
              <w:t>40°42'53.33"</w:t>
            </w:r>
          </w:p>
          <w:p w14:paraId="07CE04EC">
            <w:pPr>
              <w:pStyle w:val="6"/>
              <w:spacing w:before="1" w:line="222" w:lineRule="auto"/>
              <w:ind w:left="94"/>
              <w:rPr>
                <w:sz w:val="24"/>
                <w:szCs w:val="24"/>
              </w:rPr>
            </w:pPr>
            <w:r>
              <w:rPr>
                <w:sz w:val="24"/>
                <w:szCs w:val="24"/>
              </w:rPr>
              <w:t>北</w:t>
            </w:r>
          </w:p>
          <w:p w14:paraId="18843085">
            <w:pPr>
              <w:pStyle w:val="6"/>
              <w:spacing w:before="50" w:line="220" w:lineRule="auto"/>
              <w:ind w:left="94"/>
              <w:rPr>
                <w:sz w:val="24"/>
                <w:szCs w:val="24"/>
              </w:rPr>
            </w:pPr>
            <w:r>
              <w:rPr>
                <w:spacing w:val="5"/>
                <w:sz w:val="24"/>
                <w:szCs w:val="24"/>
              </w:rPr>
              <w:t>110°15'36.00”</w:t>
            </w:r>
            <w:r>
              <w:rPr>
                <w:spacing w:val="7"/>
                <w:sz w:val="24"/>
                <w:szCs w:val="24"/>
              </w:rPr>
              <w:t xml:space="preserve"> </w:t>
            </w:r>
            <w:r>
              <w:rPr>
                <w:sz w:val="24"/>
                <w:szCs w:val="24"/>
              </w:rPr>
              <w:t>东</w:t>
            </w:r>
          </w:p>
        </w:tc>
        <w:tc>
          <w:tcPr>
            <w:tcW w:w="1009" w:type="dxa"/>
            <w:vAlign w:val="top"/>
          </w:tcPr>
          <w:p w14:paraId="6468881D">
            <w:pPr>
              <w:spacing w:line="454" w:lineRule="auto"/>
              <w:rPr>
                <w:rFonts w:ascii="Arial"/>
                <w:sz w:val="21"/>
              </w:rPr>
            </w:pPr>
          </w:p>
          <w:p w14:paraId="405A62F4">
            <w:pPr>
              <w:pStyle w:val="6"/>
              <w:spacing w:before="78" w:line="241" w:lineRule="auto"/>
              <w:ind w:left="256"/>
              <w:rPr>
                <w:sz w:val="24"/>
                <w:szCs w:val="24"/>
              </w:rPr>
            </w:pPr>
            <w:r>
              <w:rPr>
                <w:spacing w:val="-1"/>
                <w:sz w:val="24"/>
                <w:szCs w:val="24"/>
              </w:rPr>
              <w:t>NT-1</w:t>
            </w:r>
          </w:p>
        </w:tc>
        <w:tc>
          <w:tcPr>
            <w:tcW w:w="939" w:type="dxa"/>
            <w:vAlign w:val="top"/>
          </w:tcPr>
          <w:p w14:paraId="02B2A096">
            <w:pPr>
              <w:spacing w:line="453" w:lineRule="auto"/>
              <w:rPr>
                <w:rFonts w:ascii="Arial"/>
                <w:sz w:val="21"/>
              </w:rPr>
            </w:pPr>
          </w:p>
          <w:p w14:paraId="6DFD63EA">
            <w:pPr>
              <w:pStyle w:val="6"/>
              <w:spacing w:before="78" w:line="239" w:lineRule="auto"/>
              <w:ind w:left="226"/>
              <w:rPr>
                <w:sz w:val="24"/>
                <w:szCs w:val="24"/>
              </w:rPr>
            </w:pPr>
            <w:r>
              <w:rPr>
                <w:spacing w:val="-6"/>
                <w:sz w:val="24"/>
                <w:szCs w:val="24"/>
              </w:rPr>
              <w:t>1.13</w:t>
            </w:r>
          </w:p>
        </w:tc>
        <w:tc>
          <w:tcPr>
            <w:tcW w:w="2063" w:type="dxa"/>
            <w:vMerge w:val="restart"/>
            <w:tcBorders>
              <w:bottom w:val="nil"/>
            </w:tcBorders>
            <w:vAlign w:val="top"/>
          </w:tcPr>
          <w:p w14:paraId="00975DAD">
            <w:pPr>
              <w:spacing w:line="261" w:lineRule="auto"/>
              <w:rPr>
                <w:rFonts w:ascii="Arial"/>
                <w:sz w:val="21"/>
              </w:rPr>
            </w:pPr>
          </w:p>
          <w:p w14:paraId="08353B32">
            <w:pPr>
              <w:spacing w:line="261" w:lineRule="auto"/>
              <w:rPr>
                <w:rFonts w:ascii="Arial"/>
                <w:sz w:val="21"/>
              </w:rPr>
            </w:pPr>
          </w:p>
          <w:p w14:paraId="1064D2CB">
            <w:pPr>
              <w:spacing w:line="262" w:lineRule="auto"/>
              <w:rPr>
                <w:rFonts w:ascii="Arial"/>
                <w:sz w:val="21"/>
              </w:rPr>
            </w:pPr>
          </w:p>
          <w:p w14:paraId="720D7375">
            <w:pPr>
              <w:spacing w:line="262" w:lineRule="auto"/>
              <w:rPr>
                <w:rFonts w:ascii="Arial"/>
                <w:sz w:val="21"/>
              </w:rPr>
            </w:pPr>
          </w:p>
          <w:p w14:paraId="2F40CD97">
            <w:pPr>
              <w:pStyle w:val="6"/>
              <w:spacing w:before="78" w:line="242" w:lineRule="auto"/>
              <w:ind w:left="67" w:right="74" w:firstLine="120"/>
              <w:rPr>
                <w:sz w:val="24"/>
                <w:szCs w:val="24"/>
              </w:rPr>
            </w:pPr>
            <w:r>
              <w:rPr>
                <w:spacing w:val="1"/>
                <w:sz w:val="24"/>
                <w:szCs w:val="24"/>
              </w:rPr>
              <w:t>主要种植玉米等</w:t>
            </w:r>
            <w:r>
              <w:rPr>
                <w:spacing w:val="3"/>
                <w:sz w:val="24"/>
                <w:szCs w:val="24"/>
              </w:rPr>
              <w:t xml:space="preserve"> </w:t>
            </w:r>
            <w:r>
              <w:rPr>
                <w:spacing w:val="-2"/>
                <w:sz w:val="24"/>
                <w:szCs w:val="24"/>
              </w:rPr>
              <w:t>农作物，使用复合</w:t>
            </w:r>
          </w:p>
          <w:p w14:paraId="5748BA33">
            <w:pPr>
              <w:pStyle w:val="6"/>
              <w:spacing w:before="2"/>
              <w:ind w:left="67" w:right="73" w:firstLine="120"/>
              <w:rPr>
                <w:sz w:val="24"/>
                <w:szCs w:val="24"/>
              </w:rPr>
            </w:pPr>
            <w:r>
              <w:rPr>
                <w:color w:val="203040"/>
                <w:spacing w:val="-22"/>
                <w:sz w:val="24"/>
                <w:szCs w:val="24"/>
              </w:rPr>
              <w:t>肥</w:t>
            </w:r>
            <w:r>
              <w:rPr>
                <w:color w:val="203040"/>
                <w:spacing w:val="44"/>
                <w:sz w:val="24"/>
                <w:szCs w:val="24"/>
              </w:rPr>
              <w:t xml:space="preserve"> </w:t>
            </w:r>
            <w:r>
              <w:rPr>
                <w:color w:val="203040"/>
                <w:spacing w:val="-22"/>
                <w:sz w:val="24"/>
                <w:szCs w:val="24"/>
              </w:rPr>
              <w:t>、</w:t>
            </w:r>
            <w:r>
              <w:rPr>
                <w:spacing w:val="-22"/>
                <w:sz w:val="24"/>
                <w:szCs w:val="24"/>
              </w:rPr>
              <w:t>农药及除草</w:t>
            </w:r>
            <w:r>
              <w:rPr>
                <w:sz w:val="24"/>
                <w:szCs w:val="24"/>
              </w:rPr>
              <w:t xml:space="preserve">  </w:t>
            </w:r>
            <w:r>
              <w:rPr>
                <w:spacing w:val="-25"/>
                <w:sz w:val="24"/>
                <w:szCs w:val="24"/>
              </w:rPr>
              <w:t>剂</w:t>
            </w:r>
            <w:r>
              <w:rPr>
                <w:spacing w:val="70"/>
                <w:sz w:val="24"/>
                <w:szCs w:val="24"/>
              </w:rPr>
              <w:t xml:space="preserve"> </w:t>
            </w:r>
            <w:r>
              <w:rPr>
                <w:spacing w:val="-25"/>
                <w:sz w:val="24"/>
                <w:szCs w:val="24"/>
              </w:rPr>
              <w:t>，</w:t>
            </w:r>
            <w:r>
              <w:rPr>
                <w:color w:val="303040"/>
                <w:spacing w:val="-25"/>
                <w:sz w:val="24"/>
                <w:szCs w:val="24"/>
              </w:rPr>
              <w:t>对饮用水源造</w:t>
            </w:r>
            <w:r>
              <w:rPr>
                <w:color w:val="303040"/>
                <w:sz w:val="24"/>
                <w:szCs w:val="24"/>
              </w:rPr>
              <w:t xml:space="preserve"> </w:t>
            </w:r>
            <w:r>
              <w:rPr>
                <w:spacing w:val="6"/>
                <w:sz w:val="24"/>
                <w:szCs w:val="24"/>
              </w:rPr>
              <w:t>成面源污染。</w:t>
            </w:r>
          </w:p>
        </w:tc>
      </w:tr>
      <w:tr w14:paraId="6640B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04" w:type="dxa"/>
            <w:vMerge w:val="continue"/>
            <w:tcBorders>
              <w:top w:val="nil"/>
              <w:bottom w:val="nil"/>
            </w:tcBorders>
            <w:vAlign w:val="top"/>
          </w:tcPr>
          <w:p w14:paraId="4331D68F">
            <w:pPr>
              <w:rPr>
                <w:rFonts w:ascii="Arial"/>
                <w:sz w:val="21"/>
              </w:rPr>
            </w:pPr>
          </w:p>
        </w:tc>
        <w:tc>
          <w:tcPr>
            <w:tcW w:w="1548" w:type="dxa"/>
            <w:vAlign w:val="top"/>
          </w:tcPr>
          <w:p w14:paraId="13D8ABEB">
            <w:pPr>
              <w:spacing w:line="293" w:lineRule="auto"/>
              <w:rPr>
                <w:rFonts w:ascii="Arial"/>
                <w:sz w:val="21"/>
              </w:rPr>
            </w:pPr>
          </w:p>
          <w:p w14:paraId="71E4AB5C">
            <w:pPr>
              <w:pStyle w:val="6"/>
              <w:spacing w:before="78" w:line="238" w:lineRule="auto"/>
              <w:ind w:left="640" w:right="155" w:hanging="479"/>
              <w:rPr>
                <w:sz w:val="24"/>
                <w:szCs w:val="24"/>
              </w:rPr>
            </w:pPr>
            <w:r>
              <w:rPr>
                <w:spacing w:val="3"/>
                <w:sz w:val="24"/>
                <w:szCs w:val="24"/>
              </w:rPr>
              <w:t>1#水源井东</w:t>
            </w:r>
            <w:r>
              <w:rPr>
                <w:spacing w:val="2"/>
                <w:sz w:val="24"/>
                <w:szCs w:val="24"/>
              </w:rPr>
              <w:t xml:space="preserve"> </w:t>
            </w:r>
            <w:r>
              <w:rPr>
                <w:sz w:val="24"/>
                <w:szCs w:val="24"/>
              </w:rPr>
              <w:t>北</w:t>
            </w:r>
          </w:p>
        </w:tc>
        <w:tc>
          <w:tcPr>
            <w:tcW w:w="989" w:type="dxa"/>
            <w:vMerge w:val="continue"/>
            <w:tcBorders>
              <w:top w:val="nil"/>
              <w:bottom w:val="nil"/>
            </w:tcBorders>
            <w:vAlign w:val="top"/>
          </w:tcPr>
          <w:p w14:paraId="619901C8">
            <w:pPr>
              <w:rPr>
                <w:rFonts w:ascii="Arial"/>
                <w:sz w:val="21"/>
              </w:rPr>
            </w:pPr>
          </w:p>
        </w:tc>
        <w:tc>
          <w:tcPr>
            <w:tcW w:w="1978" w:type="dxa"/>
            <w:vAlign w:val="top"/>
          </w:tcPr>
          <w:p w14:paraId="2F4BD922">
            <w:pPr>
              <w:pStyle w:val="6"/>
              <w:spacing w:before="75" w:line="216" w:lineRule="auto"/>
              <w:ind w:left="94" w:right="322"/>
              <w:rPr>
                <w:sz w:val="24"/>
                <w:szCs w:val="24"/>
              </w:rPr>
            </w:pPr>
            <w:r>
              <w:rPr>
                <w:spacing w:val="-1"/>
                <w:sz w:val="24"/>
                <w:szCs w:val="24"/>
              </w:rPr>
              <w:t>40°43'11.07"</w:t>
            </w:r>
            <w:r>
              <w:rPr>
                <w:spacing w:val="2"/>
                <w:sz w:val="24"/>
                <w:szCs w:val="24"/>
              </w:rPr>
              <w:t xml:space="preserve"> </w:t>
            </w:r>
            <w:r>
              <w:rPr>
                <w:sz w:val="24"/>
                <w:szCs w:val="24"/>
              </w:rPr>
              <w:t>北</w:t>
            </w:r>
          </w:p>
          <w:p w14:paraId="5807F492">
            <w:pPr>
              <w:pStyle w:val="6"/>
              <w:spacing w:before="39" w:line="216" w:lineRule="auto"/>
              <w:ind w:left="94" w:right="221"/>
              <w:rPr>
                <w:sz w:val="24"/>
                <w:szCs w:val="24"/>
              </w:rPr>
            </w:pPr>
            <w:r>
              <w:rPr>
                <w:spacing w:val="-3"/>
                <w:sz w:val="24"/>
                <w:szCs w:val="24"/>
              </w:rPr>
              <w:t>110°15'38.17"</w:t>
            </w:r>
            <w:r>
              <w:rPr>
                <w:spacing w:val="10"/>
                <w:sz w:val="24"/>
                <w:szCs w:val="24"/>
              </w:rPr>
              <w:t xml:space="preserve"> </w:t>
            </w:r>
            <w:r>
              <w:rPr>
                <w:sz w:val="24"/>
                <w:szCs w:val="24"/>
              </w:rPr>
              <w:t>东</w:t>
            </w:r>
          </w:p>
        </w:tc>
        <w:tc>
          <w:tcPr>
            <w:tcW w:w="1009" w:type="dxa"/>
            <w:vAlign w:val="top"/>
          </w:tcPr>
          <w:p w14:paraId="25A2F1A8">
            <w:pPr>
              <w:spacing w:line="455" w:lineRule="auto"/>
              <w:rPr>
                <w:rFonts w:ascii="Arial"/>
                <w:sz w:val="21"/>
              </w:rPr>
            </w:pPr>
          </w:p>
          <w:p w14:paraId="5594C6F5">
            <w:pPr>
              <w:pStyle w:val="6"/>
              <w:spacing w:before="78"/>
              <w:ind w:left="256"/>
              <w:rPr>
                <w:sz w:val="24"/>
                <w:szCs w:val="24"/>
              </w:rPr>
            </w:pPr>
            <w:r>
              <w:rPr>
                <w:spacing w:val="-1"/>
                <w:sz w:val="24"/>
                <w:szCs w:val="24"/>
              </w:rPr>
              <w:t>NT-5</w:t>
            </w:r>
          </w:p>
        </w:tc>
        <w:tc>
          <w:tcPr>
            <w:tcW w:w="939" w:type="dxa"/>
            <w:vAlign w:val="top"/>
          </w:tcPr>
          <w:p w14:paraId="46239574">
            <w:pPr>
              <w:spacing w:line="455" w:lineRule="auto"/>
              <w:rPr>
                <w:rFonts w:ascii="Arial"/>
                <w:sz w:val="21"/>
              </w:rPr>
            </w:pPr>
          </w:p>
          <w:p w14:paraId="3717527A">
            <w:pPr>
              <w:pStyle w:val="6"/>
              <w:spacing w:before="78" w:line="239" w:lineRule="auto"/>
              <w:ind w:left="226"/>
              <w:rPr>
                <w:sz w:val="24"/>
                <w:szCs w:val="24"/>
              </w:rPr>
            </w:pPr>
            <w:r>
              <w:rPr>
                <w:spacing w:val="-3"/>
                <w:sz w:val="24"/>
                <w:szCs w:val="24"/>
              </w:rPr>
              <w:t>2.83</w:t>
            </w:r>
          </w:p>
        </w:tc>
        <w:tc>
          <w:tcPr>
            <w:tcW w:w="2063" w:type="dxa"/>
            <w:vMerge w:val="continue"/>
            <w:tcBorders>
              <w:top w:val="nil"/>
              <w:bottom w:val="nil"/>
            </w:tcBorders>
            <w:vAlign w:val="top"/>
          </w:tcPr>
          <w:p w14:paraId="536A4009">
            <w:pPr>
              <w:rPr>
                <w:rFonts w:ascii="Arial"/>
                <w:sz w:val="21"/>
              </w:rPr>
            </w:pPr>
          </w:p>
        </w:tc>
      </w:tr>
      <w:tr w14:paraId="3F178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04" w:type="dxa"/>
            <w:vMerge w:val="continue"/>
            <w:tcBorders>
              <w:top w:val="nil"/>
              <w:bottom w:val="nil"/>
            </w:tcBorders>
            <w:vAlign w:val="top"/>
          </w:tcPr>
          <w:p w14:paraId="6089C340">
            <w:pPr>
              <w:rPr>
                <w:rFonts w:ascii="Arial"/>
                <w:sz w:val="21"/>
              </w:rPr>
            </w:pPr>
          </w:p>
        </w:tc>
        <w:tc>
          <w:tcPr>
            <w:tcW w:w="1548" w:type="dxa"/>
            <w:vAlign w:val="top"/>
          </w:tcPr>
          <w:p w14:paraId="45EFABEC">
            <w:pPr>
              <w:spacing w:line="285" w:lineRule="auto"/>
              <w:rPr>
                <w:rFonts w:ascii="Arial"/>
                <w:sz w:val="21"/>
              </w:rPr>
            </w:pPr>
          </w:p>
          <w:p w14:paraId="0216EC43">
            <w:pPr>
              <w:pStyle w:val="6"/>
              <w:spacing w:before="78" w:line="217" w:lineRule="auto"/>
              <w:ind w:left="640" w:right="155" w:hanging="479"/>
              <w:rPr>
                <w:sz w:val="24"/>
                <w:szCs w:val="24"/>
              </w:rPr>
            </w:pPr>
            <w:r>
              <w:rPr>
                <w:spacing w:val="3"/>
                <w:sz w:val="24"/>
                <w:szCs w:val="24"/>
              </w:rPr>
              <w:t>1#水源井东</w:t>
            </w:r>
            <w:r>
              <w:rPr>
                <w:spacing w:val="2"/>
                <w:sz w:val="24"/>
                <w:szCs w:val="24"/>
              </w:rPr>
              <w:t xml:space="preserve"> </w:t>
            </w:r>
            <w:r>
              <w:rPr>
                <w:sz w:val="24"/>
                <w:szCs w:val="24"/>
              </w:rPr>
              <w:t>北</w:t>
            </w:r>
          </w:p>
        </w:tc>
        <w:tc>
          <w:tcPr>
            <w:tcW w:w="989" w:type="dxa"/>
            <w:vMerge w:val="continue"/>
            <w:tcBorders>
              <w:top w:val="nil"/>
            </w:tcBorders>
            <w:vAlign w:val="top"/>
          </w:tcPr>
          <w:p w14:paraId="7B84223D">
            <w:pPr>
              <w:rPr>
                <w:rFonts w:ascii="Arial"/>
                <w:sz w:val="21"/>
              </w:rPr>
            </w:pPr>
          </w:p>
        </w:tc>
        <w:tc>
          <w:tcPr>
            <w:tcW w:w="1978" w:type="dxa"/>
            <w:vAlign w:val="top"/>
          </w:tcPr>
          <w:p w14:paraId="75D64187">
            <w:pPr>
              <w:pStyle w:val="6"/>
              <w:spacing w:before="59" w:line="227" w:lineRule="auto"/>
              <w:ind w:left="94" w:right="322"/>
              <w:rPr>
                <w:sz w:val="24"/>
                <w:szCs w:val="24"/>
              </w:rPr>
            </w:pPr>
            <w:r>
              <w:rPr>
                <w:spacing w:val="-1"/>
                <w:sz w:val="24"/>
                <w:szCs w:val="24"/>
              </w:rPr>
              <w:t>40°43'12.96"</w:t>
            </w:r>
            <w:r>
              <w:rPr>
                <w:spacing w:val="2"/>
                <w:sz w:val="24"/>
                <w:szCs w:val="24"/>
              </w:rPr>
              <w:t xml:space="preserve"> </w:t>
            </w:r>
            <w:r>
              <w:rPr>
                <w:sz w:val="24"/>
                <w:szCs w:val="24"/>
              </w:rPr>
              <w:t>北</w:t>
            </w:r>
          </w:p>
          <w:p w14:paraId="6047B27D">
            <w:pPr>
              <w:pStyle w:val="6"/>
              <w:spacing w:before="18" w:line="219" w:lineRule="auto"/>
              <w:ind w:left="94" w:right="221"/>
              <w:rPr>
                <w:sz w:val="24"/>
                <w:szCs w:val="24"/>
              </w:rPr>
            </w:pPr>
            <w:r>
              <w:rPr>
                <w:spacing w:val="-3"/>
                <w:sz w:val="24"/>
                <w:szCs w:val="24"/>
              </w:rPr>
              <w:t>110°15'35.36"</w:t>
            </w:r>
            <w:r>
              <w:rPr>
                <w:spacing w:val="10"/>
                <w:sz w:val="24"/>
                <w:szCs w:val="24"/>
              </w:rPr>
              <w:t xml:space="preserve"> </w:t>
            </w:r>
            <w:r>
              <w:rPr>
                <w:sz w:val="24"/>
                <w:szCs w:val="24"/>
              </w:rPr>
              <w:t>东</w:t>
            </w:r>
          </w:p>
        </w:tc>
        <w:tc>
          <w:tcPr>
            <w:tcW w:w="1009" w:type="dxa"/>
            <w:vAlign w:val="top"/>
          </w:tcPr>
          <w:p w14:paraId="76282E08">
            <w:pPr>
              <w:spacing w:line="457" w:lineRule="auto"/>
              <w:rPr>
                <w:rFonts w:ascii="Arial"/>
                <w:sz w:val="21"/>
              </w:rPr>
            </w:pPr>
          </w:p>
          <w:p w14:paraId="19BF4A8D">
            <w:pPr>
              <w:pStyle w:val="6"/>
              <w:spacing w:before="78"/>
              <w:ind w:left="135"/>
              <w:rPr>
                <w:sz w:val="24"/>
                <w:szCs w:val="24"/>
              </w:rPr>
            </w:pPr>
            <w:r>
              <w:rPr>
                <w:spacing w:val="-1"/>
                <w:sz w:val="24"/>
                <w:szCs w:val="24"/>
              </w:rPr>
              <w:t>NT-6-1</w:t>
            </w:r>
          </w:p>
        </w:tc>
        <w:tc>
          <w:tcPr>
            <w:tcW w:w="939" w:type="dxa"/>
            <w:vAlign w:val="top"/>
          </w:tcPr>
          <w:p w14:paraId="2658CB37">
            <w:pPr>
              <w:spacing w:line="457" w:lineRule="auto"/>
              <w:rPr>
                <w:rFonts w:ascii="Arial"/>
                <w:sz w:val="21"/>
              </w:rPr>
            </w:pPr>
          </w:p>
          <w:p w14:paraId="6297A399">
            <w:pPr>
              <w:pStyle w:val="6"/>
              <w:spacing w:before="78" w:line="239" w:lineRule="auto"/>
              <w:ind w:left="226"/>
              <w:rPr>
                <w:sz w:val="24"/>
                <w:szCs w:val="24"/>
              </w:rPr>
            </w:pPr>
            <w:r>
              <w:rPr>
                <w:spacing w:val="-3"/>
                <w:sz w:val="24"/>
                <w:szCs w:val="24"/>
              </w:rPr>
              <w:t>7.96</w:t>
            </w:r>
          </w:p>
        </w:tc>
        <w:tc>
          <w:tcPr>
            <w:tcW w:w="2063" w:type="dxa"/>
            <w:vMerge w:val="continue"/>
            <w:tcBorders>
              <w:top w:val="nil"/>
            </w:tcBorders>
            <w:vAlign w:val="top"/>
          </w:tcPr>
          <w:p w14:paraId="62E4EE8F">
            <w:pPr>
              <w:rPr>
                <w:rFonts w:ascii="Arial"/>
                <w:sz w:val="21"/>
              </w:rPr>
            </w:pPr>
          </w:p>
        </w:tc>
      </w:tr>
      <w:tr w14:paraId="7551B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704" w:type="dxa"/>
            <w:vMerge w:val="continue"/>
            <w:tcBorders>
              <w:top w:val="nil"/>
              <w:bottom w:val="nil"/>
            </w:tcBorders>
            <w:vAlign w:val="top"/>
          </w:tcPr>
          <w:p w14:paraId="5094D794">
            <w:pPr>
              <w:rPr>
                <w:rFonts w:ascii="Arial"/>
                <w:sz w:val="21"/>
              </w:rPr>
            </w:pPr>
          </w:p>
        </w:tc>
        <w:tc>
          <w:tcPr>
            <w:tcW w:w="1548" w:type="dxa"/>
            <w:vAlign w:val="top"/>
          </w:tcPr>
          <w:p w14:paraId="6811413D">
            <w:pPr>
              <w:spacing w:line="277" w:lineRule="auto"/>
              <w:rPr>
                <w:rFonts w:ascii="Arial"/>
                <w:sz w:val="21"/>
              </w:rPr>
            </w:pPr>
          </w:p>
          <w:p w14:paraId="7BC7D977">
            <w:pPr>
              <w:pStyle w:val="6"/>
              <w:spacing w:before="78" w:line="238" w:lineRule="auto"/>
              <w:ind w:left="640" w:right="158" w:hanging="479"/>
              <w:rPr>
                <w:sz w:val="24"/>
                <w:szCs w:val="24"/>
              </w:rPr>
            </w:pPr>
            <w:r>
              <w:rPr>
                <w:spacing w:val="3"/>
                <w:sz w:val="24"/>
                <w:szCs w:val="24"/>
              </w:rPr>
              <w:t>1#水源井西</w:t>
            </w:r>
            <w:r>
              <w:rPr>
                <w:sz w:val="24"/>
                <w:szCs w:val="24"/>
              </w:rPr>
              <w:t xml:space="preserve"> 北</w:t>
            </w:r>
          </w:p>
        </w:tc>
        <w:tc>
          <w:tcPr>
            <w:tcW w:w="989" w:type="dxa"/>
            <w:vMerge w:val="restart"/>
            <w:tcBorders>
              <w:bottom w:val="nil"/>
            </w:tcBorders>
            <w:vAlign w:val="top"/>
          </w:tcPr>
          <w:p w14:paraId="5C79A616">
            <w:pPr>
              <w:spacing w:line="302" w:lineRule="auto"/>
              <w:rPr>
                <w:rFonts w:ascii="Arial"/>
                <w:sz w:val="21"/>
              </w:rPr>
            </w:pPr>
          </w:p>
          <w:p w14:paraId="5804CCD3">
            <w:pPr>
              <w:spacing w:line="302" w:lineRule="auto"/>
              <w:rPr>
                <w:rFonts w:ascii="Arial"/>
                <w:sz w:val="21"/>
              </w:rPr>
            </w:pPr>
          </w:p>
          <w:p w14:paraId="2B35C737">
            <w:pPr>
              <w:spacing w:line="303" w:lineRule="auto"/>
              <w:rPr>
                <w:rFonts w:ascii="Arial"/>
                <w:sz w:val="21"/>
              </w:rPr>
            </w:pPr>
          </w:p>
          <w:p w14:paraId="55BE2984">
            <w:pPr>
              <w:pStyle w:val="6"/>
              <w:spacing w:before="78" w:line="239" w:lineRule="auto"/>
              <w:ind w:left="122" w:right="115" w:firstLine="120"/>
              <w:rPr>
                <w:sz w:val="24"/>
                <w:szCs w:val="24"/>
              </w:rPr>
            </w:pPr>
            <w:r>
              <w:rPr>
                <w:spacing w:val="7"/>
                <w:sz w:val="24"/>
                <w:szCs w:val="24"/>
              </w:rPr>
              <w:t>二级</w:t>
            </w:r>
            <w:r>
              <w:rPr>
                <w:sz w:val="24"/>
                <w:szCs w:val="24"/>
              </w:rPr>
              <w:t xml:space="preserve">  </w:t>
            </w:r>
            <w:r>
              <w:rPr>
                <w:spacing w:val="6"/>
                <w:sz w:val="24"/>
                <w:szCs w:val="24"/>
              </w:rPr>
              <w:t>保护区</w:t>
            </w:r>
          </w:p>
        </w:tc>
        <w:tc>
          <w:tcPr>
            <w:tcW w:w="1978" w:type="dxa"/>
            <w:vAlign w:val="top"/>
          </w:tcPr>
          <w:p w14:paraId="4D2F7B23">
            <w:pPr>
              <w:pStyle w:val="6"/>
              <w:spacing w:before="51" w:line="227" w:lineRule="auto"/>
              <w:ind w:left="94" w:right="322"/>
              <w:rPr>
                <w:sz w:val="24"/>
                <w:szCs w:val="24"/>
              </w:rPr>
            </w:pPr>
            <w:r>
              <w:rPr>
                <w:spacing w:val="-1"/>
                <w:sz w:val="24"/>
                <w:szCs w:val="24"/>
              </w:rPr>
              <w:t>40°42'53.33"</w:t>
            </w:r>
            <w:r>
              <w:rPr>
                <w:spacing w:val="2"/>
                <w:sz w:val="24"/>
                <w:szCs w:val="24"/>
              </w:rPr>
              <w:t xml:space="preserve"> </w:t>
            </w:r>
            <w:r>
              <w:rPr>
                <w:sz w:val="24"/>
                <w:szCs w:val="24"/>
              </w:rPr>
              <w:t>北</w:t>
            </w:r>
          </w:p>
          <w:p w14:paraId="2345AE9A">
            <w:pPr>
              <w:pStyle w:val="6"/>
              <w:spacing w:before="49" w:line="214" w:lineRule="auto"/>
              <w:ind w:left="94" w:right="201" w:firstLine="20"/>
              <w:rPr>
                <w:sz w:val="24"/>
                <w:szCs w:val="24"/>
              </w:rPr>
            </w:pPr>
            <w:r>
              <w:rPr>
                <w:spacing w:val="-3"/>
                <w:sz w:val="24"/>
                <w:szCs w:val="24"/>
              </w:rPr>
              <w:t>110°15'36.00"</w:t>
            </w:r>
            <w:r>
              <w:rPr>
                <w:spacing w:val="10"/>
                <w:sz w:val="24"/>
                <w:szCs w:val="24"/>
              </w:rPr>
              <w:t xml:space="preserve"> </w:t>
            </w:r>
            <w:r>
              <w:rPr>
                <w:sz w:val="24"/>
                <w:szCs w:val="24"/>
              </w:rPr>
              <w:t>东</w:t>
            </w:r>
          </w:p>
        </w:tc>
        <w:tc>
          <w:tcPr>
            <w:tcW w:w="1009" w:type="dxa"/>
            <w:vAlign w:val="top"/>
          </w:tcPr>
          <w:p w14:paraId="5977798B">
            <w:pPr>
              <w:spacing w:line="460" w:lineRule="auto"/>
              <w:rPr>
                <w:rFonts w:ascii="Arial"/>
                <w:sz w:val="21"/>
              </w:rPr>
            </w:pPr>
          </w:p>
          <w:p w14:paraId="69B5ACD9">
            <w:pPr>
              <w:pStyle w:val="6"/>
              <w:spacing w:before="78" w:line="241" w:lineRule="auto"/>
              <w:ind w:left="256"/>
              <w:rPr>
                <w:sz w:val="24"/>
                <w:szCs w:val="24"/>
              </w:rPr>
            </w:pPr>
            <w:r>
              <w:rPr>
                <w:spacing w:val="-1"/>
                <w:sz w:val="24"/>
                <w:szCs w:val="24"/>
              </w:rPr>
              <w:t>NT-1</w:t>
            </w:r>
          </w:p>
        </w:tc>
        <w:tc>
          <w:tcPr>
            <w:tcW w:w="939" w:type="dxa"/>
            <w:vAlign w:val="top"/>
          </w:tcPr>
          <w:p w14:paraId="7BB664DF">
            <w:pPr>
              <w:spacing w:line="459" w:lineRule="auto"/>
              <w:rPr>
                <w:rFonts w:ascii="Arial"/>
                <w:sz w:val="21"/>
              </w:rPr>
            </w:pPr>
          </w:p>
          <w:p w14:paraId="1F69BA4A">
            <w:pPr>
              <w:pStyle w:val="6"/>
              <w:spacing w:before="78" w:line="239" w:lineRule="auto"/>
              <w:ind w:left="226"/>
              <w:rPr>
                <w:sz w:val="24"/>
                <w:szCs w:val="24"/>
              </w:rPr>
            </w:pPr>
            <w:r>
              <w:rPr>
                <w:spacing w:val="-3"/>
                <w:sz w:val="24"/>
                <w:szCs w:val="24"/>
              </w:rPr>
              <w:t>3.29</w:t>
            </w:r>
          </w:p>
        </w:tc>
        <w:tc>
          <w:tcPr>
            <w:tcW w:w="2063" w:type="dxa"/>
            <w:vMerge w:val="restart"/>
            <w:tcBorders>
              <w:bottom w:val="nil"/>
            </w:tcBorders>
            <w:vAlign w:val="top"/>
          </w:tcPr>
          <w:p w14:paraId="61B446B5">
            <w:pPr>
              <w:spacing w:line="436" w:lineRule="auto"/>
              <w:rPr>
                <w:rFonts w:ascii="Arial"/>
                <w:sz w:val="21"/>
              </w:rPr>
            </w:pPr>
          </w:p>
          <w:p w14:paraId="474410B9">
            <w:pPr>
              <w:pStyle w:val="6"/>
              <w:spacing w:before="78" w:line="219" w:lineRule="auto"/>
              <w:ind w:left="188"/>
              <w:rPr>
                <w:sz w:val="24"/>
                <w:szCs w:val="24"/>
              </w:rPr>
            </w:pPr>
            <w:r>
              <w:rPr>
                <w:color w:val="506060"/>
                <w:spacing w:val="1"/>
                <w:sz w:val="24"/>
                <w:szCs w:val="24"/>
              </w:rPr>
              <w:t>主要种植玉米等</w:t>
            </w:r>
          </w:p>
          <w:p w14:paraId="6AE67331">
            <w:pPr>
              <w:pStyle w:val="6"/>
              <w:spacing w:before="35" w:line="219" w:lineRule="auto"/>
              <w:ind w:left="67"/>
              <w:rPr>
                <w:sz w:val="24"/>
                <w:szCs w:val="24"/>
              </w:rPr>
            </w:pPr>
            <w:r>
              <w:rPr>
                <w:spacing w:val="-2"/>
                <w:sz w:val="24"/>
                <w:szCs w:val="24"/>
              </w:rPr>
              <w:t>农作物，使用复合</w:t>
            </w:r>
          </w:p>
          <w:p w14:paraId="5293046C">
            <w:pPr>
              <w:pStyle w:val="6"/>
              <w:spacing w:before="54" w:line="215" w:lineRule="auto"/>
              <w:ind w:left="188"/>
              <w:rPr>
                <w:sz w:val="24"/>
                <w:szCs w:val="24"/>
              </w:rPr>
            </w:pPr>
            <w:r>
              <w:rPr>
                <w:spacing w:val="1"/>
                <w:sz w:val="24"/>
                <w:szCs w:val="24"/>
              </w:rPr>
              <w:t>肥、农药及除草</w:t>
            </w:r>
          </w:p>
          <w:p w14:paraId="7FAD1D53">
            <w:pPr>
              <w:pStyle w:val="6"/>
              <w:spacing w:line="218" w:lineRule="auto"/>
              <w:ind w:left="67"/>
              <w:rPr>
                <w:sz w:val="24"/>
                <w:szCs w:val="24"/>
              </w:rPr>
            </w:pPr>
            <w:r>
              <w:rPr>
                <w:spacing w:val="-24"/>
                <w:sz w:val="24"/>
                <w:szCs w:val="24"/>
              </w:rPr>
              <w:t>剂</w:t>
            </w:r>
            <w:r>
              <w:rPr>
                <w:spacing w:val="64"/>
                <w:sz w:val="24"/>
                <w:szCs w:val="24"/>
              </w:rPr>
              <w:t xml:space="preserve"> </w:t>
            </w:r>
            <w:r>
              <w:rPr>
                <w:spacing w:val="-24"/>
                <w:sz w:val="24"/>
                <w:szCs w:val="24"/>
              </w:rPr>
              <w:t>，</w:t>
            </w:r>
            <w:r>
              <w:rPr>
                <w:color w:val="405050"/>
                <w:spacing w:val="-24"/>
                <w:sz w:val="24"/>
                <w:szCs w:val="24"/>
              </w:rPr>
              <w:t>对饮用水源造</w:t>
            </w:r>
          </w:p>
          <w:p w14:paraId="1597FBD0">
            <w:pPr>
              <w:pStyle w:val="6"/>
              <w:spacing w:before="57" w:line="220" w:lineRule="auto"/>
              <w:ind w:left="367"/>
              <w:rPr>
                <w:sz w:val="24"/>
                <w:szCs w:val="24"/>
              </w:rPr>
            </w:pPr>
            <w:r>
              <w:rPr>
                <w:sz w:val="24"/>
                <w:szCs w:val="24"/>
              </w:rPr>
              <w:t>成面源污染。</w:t>
            </w:r>
          </w:p>
        </w:tc>
      </w:tr>
      <w:tr w14:paraId="16305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704" w:type="dxa"/>
            <w:vMerge w:val="continue"/>
            <w:tcBorders>
              <w:top w:val="nil"/>
            </w:tcBorders>
            <w:vAlign w:val="top"/>
          </w:tcPr>
          <w:p w14:paraId="7AB3D2FF">
            <w:pPr>
              <w:rPr>
                <w:rFonts w:ascii="Arial"/>
                <w:sz w:val="21"/>
              </w:rPr>
            </w:pPr>
          </w:p>
        </w:tc>
        <w:tc>
          <w:tcPr>
            <w:tcW w:w="1548" w:type="dxa"/>
            <w:vAlign w:val="top"/>
          </w:tcPr>
          <w:p w14:paraId="729945B4">
            <w:pPr>
              <w:spacing w:line="269" w:lineRule="auto"/>
              <w:rPr>
                <w:rFonts w:ascii="Arial"/>
                <w:sz w:val="21"/>
              </w:rPr>
            </w:pPr>
          </w:p>
          <w:p w14:paraId="60A2E62D">
            <w:pPr>
              <w:pStyle w:val="6"/>
              <w:spacing w:before="78" w:line="236" w:lineRule="auto"/>
              <w:ind w:left="640" w:right="158" w:hanging="479"/>
              <w:rPr>
                <w:sz w:val="24"/>
                <w:szCs w:val="24"/>
              </w:rPr>
            </w:pPr>
            <w:r>
              <w:rPr>
                <w:spacing w:val="3"/>
                <w:sz w:val="24"/>
                <w:szCs w:val="24"/>
              </w:rPr>
              <w:t>1#水源井西</w:t>
            </w:r>
            <w:r>
              <w:rPr>
                <w:sz w:val="24"/>
                <w:szCs w:val="24"/>
              </w:rPr>
              <w:t xml:space="preserve"> 南</w:t>
            </w:r>
          </w:p>
        </w:tc>
        <w:tc>
          <w:tcPr>
            <w:tcW w:w="989" w:type="dxa"/>
            <w:vMerge w:val="continue"/>
            <w:tcBorders>
              <w:top w:val="nil"/>
            </w:tcBorders>
            <w:vAlign w:val="top"/>
          </w:tcPr>
          <w:p w14:paraId="57C6878C">
            <w:pPr>
              <w:rPr>
                <w:rFonts w:ascii="Arial"/>
                <w:sz w:val="21"/>
              </w:rPr>
            </w:pPr>
          </w:p>
        </w:tc>
        <w:tc>
          <w:tcPr>
            <w:tcW w:w="1978" w:type="dxa"/>
            <w:vAlign w:val="top"/>
          </w:tcPr>
          <w:p w14:paraId="68ABA18D">
            <w:pPr>
              <w:pStyle w:val="6"/>
              <w:spacing w:before="53" w:line="235" w:lineRule="auto"/>
              <w:ind w:left="94"/>
              <w:rPr>
                <w:sz w:val="24"/>
                <w:szCs w:val="24"/>
              </w:rPr>
            </w:pPr>
            <w:r>
              <w:rPr>
                <w:spacing w:val="6"/>
                <w:sz w:val="24"/>
                <w:szCs w:val="24"/>
              </w:rPr>
              <w:t>40°42’31.67”</w:t>
            </w:r>
            <w:r>
              <w:rPr>
                <w:sz w:val="24"/>
                <w:szCs w:val="24"/>
              </w:rPr>
              <w:t xml:space="preserve"> 北</w:t>
            </w:r>
          </w:p>
          <w:p w14:paraId="78B0D5E5">
            <w:pPr>
              <w:pStyle w:val="6"/>
              <w:spacing w:before="27" w:line="212" w:lineRule="auto"/>
              <w:ind w:left="94" w:right="201" w:firstLine="20"/>
              <w:rPr>
                <w:sz w:val="24"/>
                <w:szCs w:val="24"/>
              </w:rPr>
            </w:pPr>
            <w:r>
              <w:rPr>
                <w:spacing w:val="-3"/>
                <w:sz w:val="24"/>
                <w:szCs w:val="24"/>
              </w:rPr>
              <w:t>110°15'39.40"</w:t>
            </w:r>
            <w:r>
              <w:rPr>
                <w:spacing w:val="10"/>
                <w:sz w:val="24"/>
                <w:szCs w:val="24"/>
              </w:rPr>
              <w:t xml:space="preserve"> </w:t>
            </w:r>
            <w:r>
              <w:rPr>
                <w:sz w:val="24"/>
                <w:szCs w:val="24"/>
              </w:rPr>
              <w:t>东</w:t>
            </w:r>
          </w:p>
        </w:tc>
        <w:tc>
          <w:tcPr>
            <w:tcW w:w="1009" w:type="dxa"/>
            <w:vAlign w:val="top"/>
          </w:tcPr>
          <w:p w14:paraId="0BBCFD6E">
            <w:pPr>
              <w:spacing w:line="462" w:lineRule="auto"/>
              <w:rPr>
                <w:rFonts w:ascii="Arial"/>
                <w:sz w:val="21"/>
              </w:rPr>
            </w:pPr>
          </w:p>
          <w:p w14:paraId="31A2981A">
            <w:pPr>
              <w:pStyle w:val="6"/>
              <w:spacing w:before="78" w:line="241" w:lineRule="auto"/>
              <w:ind w:left="256"/>
              <w:rPr>
                <w:sz w:val="24"/>
                <w:szCs w:val="24"/>
              </w:rPr>
            </w:pPr>
            <w:r>
              <w:rPr>
                <w:spacing w:val="-1"/>
                <w:sz w:val="24"/>
                <w:szCs w:val="24"/>
              </w:rPr>
              <w:t>NT-2</w:t>
            </w:r>
          </w:p>
        </w:tc>
        <w:tc>
          <w:tcPr>
            <w:tcW w:w="939" w:type="dxa"/>
            <w:vAlign w:val="top"/>
          </w:tcPr>
          <w:p w14:paraId="2A97FB91">
            <w:pPr>
              <w:spacing w:line="461" w:lineRule="auto"/>
              <w:rPr>
                <w:rFonts w:ascii="Arial"/>
                <w:sz w:val="21"/>
              </w:rPr>
            </w:pPr>
          </w:p>
          <w:p w14:paraId="012345D0">
            <w:pPr>
              <w:pStyle w:val="6"/>
              <w:spacing w:before="78" w:line="239" w:lineRule="auto"/>
              <w:ind w:left="107"/>
              <w:rPr>
                <w:sz w:val="24"/>
                <w:szCs w:val="24"/>
              </w:rPr>
            </w:pPr>
            <w:r>
              <w:rPr>
                <w:spacing w:val="-4"/>
                <w:sz w:val="24"/>
                <w:szCs w:val="24"/>
              </w:rPr>
              <w:t>121.38</w:t>
            </w:r>
          </w:p>
        </w:tc>
        <w:tc>
          <w:tcPr>
            <w:tcW w:w="2063" w:type="dxa"/>
            <w:vMerge w:val="continue"/>
            <w:tcBorders>
              <w:top w:val="nil"/>
            </w:tcBorders>
            <w:vAlign w:val="top"/>
          </w:tcPr>
          <w:p w14:paraId="52539A49">
            <w:pPr>
              <w:rPr>
                <w:rFonts w:ascii="Arial"/>
                <w:sz w:val="21"/>
              </w:rPr>
            </w:pPr>
          </w:p>
        </w:tc>
      </w:tr>
    </w:tbl>
    <w:p w14:paraId="2757A53C">
      <w:pPr>
        <w:rPr>
          <w:rFonts w:ascii="Arial"/>
          <w:sz w:val="21"/>
        </w:rPr>
      </w:pPr>
    </w:p>
    <w:p w14:paraId="49442A0B">
      <w:pPr>
        <w:rPr>
          <w:rFonts w:ascii="Arial" w:hAnsi="Arial" w:eastAsia="Arial" w:cs="Arial"/>
          <w:sz w:val="21"/>
          <w:szCs w:val="21"/>
        </w:rPr>
        <w:sectPr>
          <w:footerReference r:id="rId52" w:type="default"/>
          <w:pgSz w:w="11910" w:h="16850"/>
          <w:pgMar w:top="1360" w:right="1365" w:bottom="1509" w:left="1304" w:header="0" w:footer="1365" w:gutter="0"/>
          <w:cols w:space="720" w:num="1"/>
        </w:sectPr>
      </w:pPr>
    </w:p>
    <w:p w14:paraId="6B3621A4">
      <w:pPr>
        <w:spacing w:before="144" w:line="219" w:lineRule="auto"/>
        <w:ind w:left="1528"/>
        <w:rPr>
          <w:rFonts w:ascii="宋体" w:hAnsi="宋体" w:eastAsia="宋体" w:cs="宋体"/>
          <w:sz w:val="26"/>
          <w:szCs w:val="26"/>
        </w:rPr>
      </w:pPr>
      <w:r>
        <w:rPr>
          <w:rFonts w:ascii="宋体" w:hAnsi="宋体" w:eastAsia="宋体" w:cs="宋体"/>
          <w:b/>
          <w:bCs/>
          <w:spacing w:val="-3"/>
          <w:sz w:val="26"/>
          <w:szCs w:val="26"/>
        </w:rPr>
        <w:t>表2-2石拐区集中式饮用水水源保护区道路穿</w:t>
      </w:r>
      <w:r>
        <w:rPr>
          <w:rFonts w:ascii="宋体" w:hAnsi="宋体" w:eastAsia="宋体" w:cs="宋体"/>
          <w:b/>
          <w:bCs/>
          <w:spacing w:val="-4"/>
          <w:sz w:val="26"/>
          <w:szCs w:val="26"/>
        </w:rPr>
        <w:t>越情况表</w:t>
      </w:r>
    </w:p>
    <w:p w14:paraId="302E39A9">
      <w:pPr>
        <w:spacing w:line="69" w:lineRule="exact"/>
      </w:pPr>
    </w:p>
    <w:tbl>
      <w:tblPr>
        <w:tblStyle w:val="5"/>
        <w:tblW w:w="8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3"/>
        <w:gridCol w:w="1778"/>
        <w:gridCol w:w="859"/>
        <w:gridCol w:w="1768"/>
        <w:gridCol w:w="909"/>
        <w:gridCol w:w="739"/>
        <w:gridCol w:w="1353"/>
      </w:tblGrid>
      <w:tr w14:paraId="693E1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103" w:type="dxa"/>
            <w:vAlign w:val="top"/>
          </w:tcPr>
          <w:p w14:paraId="6F10E965">
            <w:pPr>
              <w:pStyle w:val="6"/>
              <w:spacing w:before="191" w:line="219" w:lineRule="auto"/>
              <w:ind w:left="218"/>
              <w:rPr>
                <w:sz w:val="22"/>
                <w:szCs w:val="22"/>
              </w:rPr>
            </w:pPr>
            <w:r>
              <w:rPr>
                <w:b/>
                <w:bCs/>
                <w:color w:val="606070"/>
                <w:spacing w:val="-5"/>
                <w:sz w:val="22"/>
                <w:szCs w:val="22"/>
              </w:rPr>
              <w:t>道路级</w:t>
            </w:r>
          </w:p>
          <w:p w14:paraId="6CED6028">
            <w:pPr>
              <w:pStyle w:val="6"/>
              <w:spacing w:before="49" w:line="220" w:lineRule="auto"/>
              <w:ind w:left="438"/>
              <w:rPr>
                <w:sz w:val="22"/>
                <w:szCs w:val="22"/>
              </w:rPr>
            </w:pPr>
            <w:r>
              <w:rPr>
                <w:b/>
                <w:bCs/>
                <w:spacing w:val="-3"/>
                <w:sz w:val="22"/>
                <w:szCs w:val="22"/>
              </w:rPr>
              <w:t>别</w:t>
            </w:r>
          </w:p>
        </w:tc>
        <w:tc>
          <w:tcPr>
            <w:tcW w:w="1778" w:type="dxa"/>
            <w:vAlign w:val="top"/>
          </w:tcPr>
          <w:p w14:paraId="10C0B085">
            <w:pPr>
              <w:spacing w:line="288" w:lineRule="auto"/>
              <w:rPr>
                <w:rFonts w:ascii="Arial"/>
                <w:sz w:val="21"/>
              </w:rPr>
            </w:pPr>
          </w:p>
          <w:p w14:paraId="70A51697">
            <w:pPr>
              <w:pStyle w:val="6"/>
              <w:spacing w:before="72" w:line="221" w:lineRule="auto"/>
              <w:ind w:left="665"/>
              <w:rPr>
                <w:sz w:val="22"/>
                <w:szCs w:val="22"/>
              </w:rPr>
            </w:pPr>
            <w:r>
              <w:rPr>
                <w:b/>
                <w:bCs/>
                <w:color w:val="505050"/>
                <w:spacing w:val="-6"/>
                <w:sz w:val="22"/>
                <w:szCs w:val="22"/>
              </w:rPr>
              <w:t>位</w:t>
            </w:r>
            <w:r>
              <w:rPr>
                <w:b/>
                <w:bCs/>
                <w:spacing w:val="-6"/>
                <w:sz w:val="22"/>
                <w:szCs w:val="22"/>
              </w:rPr>
              <w:t>置</w:t>
            </w:r>
          </w:p>
        </w:tc>
        <w:tc>
          <w:tcPr>
            <w:tcW w:w="859" w:type="dxa"/>
            <w:vAlign w:val="top"/>
          </w:tcPr>
          <w:p w14:paraId="169D571D">
            <w:pPr>
              <w:pStyle w:val="6"/>
              <w:spacing w:before="21" w:line="220" w:lineRule="auto"/>
              <w:ind w:left="207"/>
              <w:rPr>
                <w:sz w:val="22"/>
                <w:szCs w:val="22"/>
              </w:rPr>
            </w:pPr>
            <w:r>
              <w:rPr>
                <w:b/>
                <w:bCs/>
                <w:spacing w:val="-5"/>
                <w:sz w:val="22"/>
                <w:szCs w:val="22"/>
              </w:rPr>
              <w:t>保护</w:t>
            </w:r>
          </w:p>
          <w:p w14:paraId="02C202DE">
            <w:pPr>
              <w:pStyle w:val="6"/>
              <w:spacing w:before="56" w:line="245" w:lineRule="auto"/>
              <w:ind w:left="317" w:right="212" w:hanging="110"/>
              <w:rPr>
                <w:sz w:val="22"/>
                <w:szCs w:val="22"/>
              </w:rPr>
            </w:pPr>
            <w:r>
              <w:rPr>
                <w:b/>
                <w:bCs/>
                <w:spacing w:val="-8"/>
                <w:sz w:val="22"/>
                <w:szCs w:val="22"/>
              </w:rPr>
              <w:t>区</w:t>
            </w:r>
            <w:r>
              <w:rPr>
                <w:b/>
                <w:bCs/>
                <w:color w:val="606060"/>
                <w:spacing w:val="-8"/>
                <w:sz w:val="22"/>
                <w:szCs w:val="22"/>
              </w:rPr>
              <w:t>等</w:t>
            </w:r>
            <w:r>
              <w:rPr>
                <w:color w:val="606060"/>
                <w:sz w:val="22"/>
                <w:szCs w:val="22"/>
              </w:rPr>
              <w:t xml:space="preserve"> </w:t>
            </w:r>
            <w:r>
              <w:rPr>
                <w:b/>
                <w:bCs/>
                <w:spacing w:val="-3"/>
                <w:sz w:val="22"/>
                <w:szCs w:val="22"/>
              </w:rPr>
              <w:t>级</w:t>
            </w:r>
          </w:p>
        </w:tc>
        <w:tc>
          <w:tcPr>
            <w:tcW w:w="1768" w:type="dxa"/>
            <w:vAlign w:val="top"/>
          </w:tcPr>
          <w:p w14:paraId="03B8CFB9">
            <w:pPr>
              <w:spacing w:line="288" w:lineRule="auto"/>
              <w:rPr>
                <w:rFonts w:ascii="Arial"/>
                <w:sz w:val="21"/>
              </w:rPr>
            </w:pPr>
          </w:p>
          <w:p w14:paraId="739ADB3B">
            <w:pPr>
              <w:pStyle w:val="6"/>
              <w:spacing w:before="71" w:line="220" w:lineRule="auto"/>
              <w:ind w:left="658"/>
              <w:rPr>
                <w:sz w:val="22"/>
                <w:szCs w:val="22"/>
              </w:rPr>
            </w:pPr>
            <w:r>
              <w:rPr>
                <w:b/>
                <w:bCs/>
                <w:color w:val="504050"/>
                <w:spacing w:val="-8"/>
                <w:sz w:val="22"/>
                <w:szCs w:val="22"/>
              </w:rPr>
              <w:t>坐</w:t>
            </w:r>
            <w:r>
              <w:rPr>
                <w:b/>
                <w:bCs/>
                <w:color w:val="606060"/>
                <w:spacing w:val="-8"/>
                <w:sz w:val="22"/>
                <w:szCs w:val="22"/>
              </w:rPr>
              <w:t>标</w:t>
            </w:r>
          </w:p>
        </w:tc>
        <w:tc>
          <w:tcPr>
            <w:tcW w:w="909" w:type="dxa"/>
            <w:vAlign w:val="top"/>
          </w:tcPr>
          <w:p w14:paraId="0D5DA9A2">
            <w:pPr>
              <w:spacing w:line="287" w:lineRule="auto"/>
              <w:rPr>
                <w:rFonts w:ascii="Arial"/>
                <w:sz w:val="21"/>
              </w:rPr>
            </w:pPr>
          </w:p>
          <w:p w14:paraId="16E09FF0">
            <w:pPr>
              <w:pStyle w:val="6"/>
              <w:spacing w:before="72" w:line="219" w:lineRule="auto"/>
              <w:ind w:left="230"/>
              <w:rPr>
                <w:sz w:val="22"/>
                <w:szCs w:val="22"/>
              </w:rPr>
            </w:pPr>
            <w:r>
              <w:rPr>
                <w:b/>
                <w:bCs/>
                <w:spacing w:val="-8"/>
                <w:sz w:val="22"/>
                <w:szCs w:val="22"/>
              </w:rPr>
              <w:t>编</w:t>
            </w:r>
            <w:r>
              <w:rPr>
                <w:b/>
                <w:bCs/>
                <w:color w:val="606060"/>
                <w:spacing w:val="-8"/>
                <w:sz w:val="22"/>
                <w:szCs w:val="22"/>
              </w:rPr>
              <w:t>号</w:t>
            </w:r>
          </w:p>
        </w:tc>
        <w:tc>
          <w:tcPr>
            <w:tcW w:w="739" w:type="dxa"/>
            <w:vAlign w:val="top"/>
          </w:tcPr>
          <w:p w14:paraId="5C3C04FD">
            <w:pPr>
              <w:spacing w:line="288" w:lineRule="auto"/>
              <w:rPr>
                <w:rFonts w:ascii="Arial"/>
                <w:sz w:val="21"/>
              </w:rPr>
            </w:pPr>
          </w:p>
          <w:p w14:paraId="3B7D806B">
            <w:pPr>
              <w:pStyle w:val="6"/>
              <w:spacing w:before="71" w:line="220" w:lineRule="auto"/>
              <w:ind w:left="151"/>
              <w:rPr>
                <w:sz w:val="22"/>
                <w:szCs w:val="22"/>
              </w:rPr>
            </w:pPr>
            <w:r>
              <w:rPr>
                <w:b/>
                <w:bCs/>
                <w:color w:val="505060"/>
                <w:spacing w:val="-7"/>
                <w:sz w:val="22"/>
                <w:szCs w:val="22"/>
              </w:rPr>
              <w:t>长</w:t>
            </w:r>
            <w:r>
              <w:rPr>
                <w:b/>
                <w:bCs/>
                <w:color w:val="606060"/>
                <w:spacing w:val="-7"/>
                <w:sz w:val="22"/>
                <w:szCs w:val="22"/>
              </w:rPr>
              <w:t>度</w:t>
            </w:r>
          </w:p>
        </w:tc>
        <w:tc>
          <w:tcPr>
            <w:tcW w:w="1353" w:type="dxa"/>
            <w:vAlign w:val="top"/>
          </w:tcPr>
          <w:p w14:paraId="2D743318">
            <w:pPr>
              <w:spacing w:line="287" w:lineRule="auto"/>
              <w:rPr>
                <w:rFonts w:ascii="Arial"/>
                <w:sz w:val="21"/>
              </w:rPr>
            </w:pPr>
          </w:p>
          <w:p w14:paraId="723BF721">
            <w:pPr>
              <w:pStyle w:val="6"/>
              <w:spacing w:before="72" w:line="219" w:lineRule="auto"/>
              <w:ind w:left="232"/>
              <w:rPr>
                <w:sz w:val="22"/>
                <w:szCs w:val="22"/>
              </w:rPr>
            </w:pPr>
            <w:r>
              <w:rPr>
                <w:b/>
                <w:bCs/>
                <w:color w:val="606070"/>
                <w:spacing w:val="-4"/>
                <w:sz w:val="22"/>
                <w:szCs w:val="22"/>
              </w:rPr>
              <w:t>存在问题</w:t>
            </w:r>
          </w:p>
        </w:tc>
      </w:tr>
      <w:tr w14:paraId="14C72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103" w:type="dxa"/>
            <w:vAlign w:val="top"/>
          </w:tcPr>
          <w:p w14:paraId="6FA7F0E2">
            <w:pPr>
              <w:pStyle w:val="6"/>
              <w:spacing w:before="53" w:line="221" w:lineRule="auto"/>
              <w:ind w:left="214"/>
              <w:rPr>
                <w:sz w:val="22"/>
                <w:szCs w:val="22"/>
              </w:rPr>
            </w:pPr>
            <w:r>
              <w:rPr>
                <w:spacing w:val="4"/>
                <w:sz w:val="22"/>
                <w:szCs w:val="22"/>
              </w:rPr>
              <w:t>乡级及</w:t>
            </w:r>
          </w:p>
          <w:p w14:paraId="21CB8159">
            <w:pPr>
              <w:pStyle w:val="6"/>
              <w:spacing w:before="35" w:line="227" w:lineRule="auto"/>
              <w:ind w:left="403" w:right="207" w:hanging="189"/>
              <w:rPr>
                <w:sz w:val="22"/>
                <w:szCs w:val="22"/>
              </w:rPr>
            </w:pPr>
            <w:r>
              <w:rPr>
                <w:spacing w:val="3"/>
                <w:sz w:val="22"/>
                <w:szCs w:val="22"/>
              </w:rPr>
              <w:t>以下道</w:t>
            </w:r>
            <w:r>
              <w:rPr>
                <w:sz w:val="22"/>
                <w:szCs w:val="22"/>
              </w:rPr>
              <w:t xml:space="preserve"> 路</w:t>
            </w:r>
          </w:p>
        </w:tc>
        <w:tc>
          <w:tcPr>
            <w:tcW w:w="1778" w:type="dxa"/>
            <w:vAlign w:val="top"/>
          </w:tcPr>
          <w:p w14:paraId="71352DC1">
            <w:pPr>
              <w:pStyle w:val="6"/>
              <w:spacing w:before="198" w:line="219" w:lineRule="auto"/>
              <w:ind w:left="161"/>
              <w:rPr>
                <w:sz w:val="22"/>
                <w:szCs w:val="22"/>
              </w:rPr>
            </w:pPr>
            <w:r>
              <w:rPr>
                <w:spacing w:val="1"/>
                <w:sz w:val="22"/>
                <w:szCs w:val="22"/>
              </w:rPr>
              <w:t>介于农田5与农</w:t>
            </w:r>
          </w:p>
          <w:p w14:paraId="73C3948E">
            <w:pPr>
              <w:pStyle w:val="6"/>
              <w:spacing w:before="83" w:line="231" w:lineRule="auto"/>
              <w:ind w:left="602"/>
              <w:rPr>
                <w:sz w:val="22"/>
                <w:szCs w:val="22"/>
              </w:rPr>
            </w:pPr>
            <w:r>
              <w:rPr>
                <w:color w:val="304040"/>
                <w:spacing w:val="5"/>
                <w:sz w:val="22"/>
                <w:szCs w:val="22"/>
              </w:rPr>
              <w:t>田6-1</w:t>
            </w:r>
          </w:p>
        </w:tc>
        <w:tc>
          <w:tcPr>
            <w:tcW w:w="859" w:type="dxa"/>
            <w:vAlign w:val="top"/>
          </w:tcPr>
          <w:p w14:paraId="42295B03">
            <w:pPr>
              <w:pStyle w:val="6"/>
              <w:spacing w:before="32" w:line="221" w:lineRule="auto"/>
              <w:ind w:left="203"/>
              <w:rPr>
                <w:sz w:val="22"/>
                <w:szCs w:val="22"/>
              </w:rPr>
            </w:pPr>
            <w:r>
              <w:rPr>
                <w:spacing w:val="12"/>
                <w:sz w:val="22"/>
                <w:szCs w:val="22"/>
              </w:rPr>
              <w:t>一级</w:t>
            </w:r>
          </w:p>
          <w:p w14:paraId="477E8650">
            <w:pPr>
              <w:pStyle w:val="6"/>
              <w:spacing w:before="54" w:line="242" w:lineRule="auto"/>
              <w:ind w:left="313" w:right="188" w:hanging="110"/>
              <w:rPr>
                <w:sz w:val="22"/>
                <w:szCs w:val="22"/>
              </w:rPr>
            </w:pPr>
            <w:r>
              <w:rPr>
                <w:spacing w:val="8"/>
                <w:sz w:val="22"/>
                <w:szCs w:val="22"/>
              </w:rPr>
              <w:t>保护</w:t>
            </w:r>
            <w:r>
              <w:rPr>
                <w:sz w:val="22"/>
                <w:szCs w:val="22"/>
              </w:rPr>
              <w:t xml:space="preserve"> 区</w:t>
            </w:r>
          </w:p>
        </w:tc>
        <w:tc>
          <w:tcPr>
            <w:tcW w:w="1768" w:type="dxa"/>
            <w:vAlign w:val="top"/>
          </w:tcPr>
          <w:p w14:paraId="6B2A999D">
            <w:pPr>
              <w:pStyle w:val="6"/>
              <w:spacing w:before="54" w:line="223" w:lineRule="auto"/>
              <w:ind w:left="105"/>
              <w:rPr>
                <w:sz w:val="22"/>
                <w:szCs w:val="22"/>
              </w:rPr>
            </w:pPr>
            <w:r>
              <w:rPr>
                <w:sz w:val="22"/>
                <w:szCs w:val="22"/>
              </w:rPr>
              <w:t>40°43'8.16"北</w:t>
            </w:r>
          </w:p>
          <w:p w14:paraId="7CCC7AD1">
            <w:pPr>
              <w:pStyle w:val="6"/>
              <w:spacing w:before="81" w:line="225" w:lineRule="auto"/>
              <w:ind w:left="105"/>
              <w:rPr>
                <w:sz w:val="22"/>
                <w:szCs w:val="22"/>
              </w:rPr>
            </w:pPr>
            <w:r>
              <w:rPr>
                <w:spacing w:val="-2"/>
                <w:sz w:val="22"/>
                <w:szCs w:val="22"/>
              </w:rPr>
              <w:t>110°15'34.14"</w:t>
            </w:r>
          </w:p>
          <w:p w14:paraId="12E93EC5">
            <w:pPr>
              <w:pStyle w:val="6"/>
              <w:spacing w:line="216" w:lineRule="auto"/>
              <w:ind w:left="764"/>
              <w:rPr>
                <w:sz w:val="22"/>
                <w:szCs w:val="22"/>
              </w:rPr>
            </w:pPr>
            <w:r>
              <w:rPr>
                <w:sz w:val="22"/>
                <w:szCs w:val="22"/>
              </w:rPr>
              <w:t>东</w:t>
            </w:r>
          </w:p>
        </w:tc>
        <w:tc>
          <w:tcPr>
            <w:tcW w:w="909" w:type="dxa"/>
            <w:vAlign w:val="top"/>
          </w:tcPr>
          <w:p w14:paraId="69DA3C69">
            <w:pPr>
              <w:spacing w:line="308" w:lineRule="auto"/>
              <w:rPr>
                <w:rFonts w:ascii="Arial"/>
                <w:sz w:val="21"/>
              </w:rPr>
            </w:pPr>
          </w:p>
          <w:p w14:paraId="028E3F77">
            <w:pPr>
              <w:pStyle w:val="6"/>
              <w:spacing w:before="71"/>
              <w:ind w:left="177"/>
              <w:rPr>
                <w:sz w:val="22"/>
                <w:szCs w:val="22"/>
              </w:rPr>
            </w:pPr>
            <w:r>
              <w:rPr>
                <w:spacing w:val="-2"/>
                <w:sz w:val="22"/>
                <w:szCs w:val="22"/>
              </w:rPr>
              <w:t>CDL-1</w:t>
            </w:r>
          </w:p>
        </w:tc>
        <w:tc>
          <w:tcPr>
            <w:tcW w:w="739" w:type="dxa"/>
            <w:vAlign w:val="top"/>
          </w:tcPr>
          <w:p w14:paraId="009E0E66">
            <w:pPr>
              <w:spacing w:line="308" w:lineRule="auto"/>
              <w:rPr>
                <w:rFonts w:ascii="Arial"/>
                <w:sz w:val="21"/>
              </w:rPr>
            </w:pPr>
          </w:p>
          <w:p w14:paraId="18060F6E">
            <w:pPr>
              <w:pStyle w:val="6"/>
              <w:spacing w:before="71"/>
              <w:ind w:left="148"/>
              <w:rPr>
                <w:sz w:val="22"/>
                <w:szCs w:val="22"/>
              </w:rPr>
            </w:pPr>
            <w:r>
              <w:rPr>
                <w:spacing w:val="-3"/>
                <w:sz w:val="22"/>
                <w:szCs w:val="22"/>
              </w:rPr>
              <w:t>228m</w:t>
            </w:r>
          </w:p>
        </w:tc>
        <w:tc>
          <w:tcPr>
            <w:tcW w:w="1353" w:type="dxa"/>
            <w:vAlign w:val="top"/>
          </w:tcPr>
          <w:p w14:paraId="3B4E12F3">
            <w:pPr>
              <w:pStyle w:val="6"/>
              <w:spacing w:before="31" w:line="221" w:lineRule="auto"/>
              <w:ind w:left="229"/>
              <w:rPr>
                <w:sz w:val="22"/>
                <w:szCs w:val="22"/>
              </w:rPr>
            </w:pPr>
            <w:r>
              <w:rPr>
                <w:spacing w:val="2"/>
                <w:sz w:val="22"/>
                <w:szCs w:val="22"/>
              </w:rPr>
              <w:t>交通穿越</w:t>
            </w:r>
          </w:p>
          <w:p w14:paraId="41540DE5">
            <w:pPr>
              <w:pStyle w:val="6"/>
              <w:spacing w:before="47" w:line="246" w:lineRule="auto"/>
              <w:ind w:left="558" w:right="217" w:hanging="329"/>
              <w:rPr>
                <w:sz w:val="22"/>
                <w:szCs w:val="22"/>
              </w:rPr>
            </w:pPr>
            <w:r>
              <w:rPr>
                <w:spacing w:val="4"/>
                <w:sz w:val="22"/>
                <w:szCs w:val="22"/>
              </w:rPr>
              <w:t>一</w:t>
            </w:r>
            <w:r>
              <w:rPr>
                <w:color w:val="204040"/>
                <w:spacing w:val="4"/>
                <w:sz w:val="22"/>
                <w:szCs w:val="22"/>
              </w:rPr>
              <w:t>级保护</w:t>
            </w:r>
            <w:r>
              <w:rPr>
                <w:color w:val="204040"/>
                <w:sz w:val="22"/>
                <w:szCs w:val="22"/>
              </w:rPr>
              <w:t xml:space="preserve"> </w:t>
            </w:r>
            <w:r>
              <w:rPr>
                <w:sz w:val="22"/>
                <w:szCs w:val="22"/>
              </w:rPr>
              <w:t>区</w:t>
            </w:r>
          </w:p>
        </w:tc>
      </w:tr>
      <w:tr w14:paraId="78C7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103" w:type="dxa"/>
            <w:vAlign w:val="top"/>
          </w:tcPr>
          <w:p w14:paraId="642CDD82">
            <w:pPr>
              <w:pStyle w:val="6"/>
              <w:spacing w:before="64" w:line="221" w:lineRule="auto"/>
              <w:ind w:left="214"/>
              <w:rPr>
                <w:sz w:val="22"/>
                <w:szCs w:val="22"/>
              </w:rPr>
            </w:pPr>
            <w:r>
              <w:rPr>
                <w:spacing w:val="4"/>
                <w:sz w:val="22"/>
                <w:szCs w:val="22"/>
              </w:rPr>
              <w:t>县级及</w:t>
            </w:r>
          </w:p>
          <w:p w14:paraId="03125E57">
            <w:pPr>
              <w:pStyle w:val="6"/>
              <w:spacing w:before="26" w:line="241" w:lineRule="auto"/>
              <w:ind w:left="433" w:right="207" w:hanging="219"/>
              <w:rPr>
                <w:sz w:val="22"/>
                <w:szCs w:val="22"/>
              </w:rPr>
            </w:pPr>
            <w:r>
              <w:rPr>
                <w:spacing w:val="3"/>
                <w:sz w:val="22"/>
                <w:szCs w:val="22"/>
              </w:rPr>
              <w:t>以下道</w:t>
            </w:r>
            <w:r>
              <w:rPr>
                <w:sz w:val="22"/>
                <w:szCs w:val="22"/>
              </w:rPr>
              <w:t xml:space="preserve"> 路</w:t>
            </w:r>
          </w:p>
        </w:tc>
        <w:tc>
          <w:tcPr>
            <w:tcW w:w="1778" w:type="dxa"/>
            <w:vAlign w:val="top"/>
          </w:tcPr>
          <w:p w14:paraId="5FCD2EA7">
            <w:pPr>
              <w:pStyle w:val="6"/>
              <w:spacing w:before="204" w:line="304" w:lineRule="auto"/>
              <w:ind w:left="660" w:right="207" w:hanging="439"/>
              <w:rPr>
                <w:sz w:val="22"/>
                <w:szCs w:val="22"/>
              </w:rPr>
            </w:pPr>
            <w:r>
              <w:rPr>
                <w:color w:val="207050"/>
                <w:spacing w:val="2"/>
                <w:sz w:val="22"/>
                <w:szCs w:val="22"/>
              </w:rPr>
              <w:t>穿越</w:t>
            </w:r>
            <w:r>
              <w:rPr>
                <w:color w:val="207050"/>
                <w:sz w:val="22"/>
                <w:szCs w:val="22"/>
              </w:rPr>
              <w:t>NT</w:t>
            </w:r>
            <w:r>
              <w:rPr>
                <w:color w:val="207050"/>
                <w:spacing w:val="2"/>
                <w:sz w:val="22"/>
                <w:szCs w:val="22"/>
              </w:rPr>
              <w:t>-6-</w:t>
            </w:r>
            <w:r>
              <w:rPr>
                <w:spacing w:val="2"/>
                <w:sz w:val="22"/>
                <w:szCs w:val="22"/>
              </w:rPr>
              <w:t>2与</w:t>
            </w:r>
            <w:r>
              <w:rPr>
                <w:spacing w:val="3"/>
                <w:sz w:val="22"/>
                <w:szCs w:val="22"/>
              </w:rPr>
              <w:t xml:space="preserve"> </w:t>
            </w:r>
            <w:r>
              <w:rPr>
                <w:spacing w:val="-1"/>
                <w:sz w:val="22"/>
                <w:szCs w:val="22"/>
              </w:rPr>
              <w:t>NT-8</w:t>
            </w:r>
          </w:p>
        </w:tc>
        <w:tc>
          <w:tcPr>
            <w:tcW w:w="859" w:type="dxa"/>
            <w:vMerge w:val="restart"/>
            <w:tcBorders>
              <w:bottom w:val="nil"/>
            </w:tcBorders>
            <w:vAlign w:val="top"/>
          </w:tcPr>
          <w:p w14:paraId="5740CAB0">
            <w:pPr>
              <w:spacing w:line="264" w:lineRule="auto"/>
              <w:rPr>
                <w:rFonts w:ascii="Arial"/>
                <w:sz w:val="21"/>
              </w:rPr>
            </w:pPr>
          </w:p>
          <w:p w14:paraId="1E4B5999">
            <w:pPr>
              <w:spacing w:line="264" w:lineRule="auto"/>
              <w:rPr>
                <w:rFonts w:ascii="Arial"/>
                <w:sz w:val="21"/>
              </w:rPr>
            </w:pPr>
          </w:p>
          <w:p w14:paraId="236454C1">
            <w:pPr>
              <w:spacing w:line="264" w:lineRule="auto"/>
              <w:rPr>
                <w:rFonts w:ascii="Arial"/>
                <w:sz w:val="21"/>
              </w:rPr>
            </w:pPr>
          </w:p>
          <w:p w14:paraId="7175C177">
            <w:pPr>
              <w:spacing w:line="265" w:lineRule="auto"/>
              <w:rPr>
                <w:rFonts w:ascii="Arial"/>
                <w:sz w:val="21"/>
              </w:rPr>
            </w:pPr>
          </w:p>
          <w:p w14:paraId="0A064E87">
            <w:pPr>
              <w:spacing w:line="265" w:lineRule="auto"/>
              <w:rPr>
                <w:rFonts w:ascii="Arial"/>
                <w:sz w:val="21"/>
              </w:rPr>
            </w:pPr>
          </w:p>
          <w:p w14:paraId="516850CF">
            <w:pPr>
              <w:spacing w:line="265" w:lineRule="auto"/>
              <w:rPr>
                <w:rFonts w:ascii="Arial"/>
                <w:sz w:val="21"/>
              </w:rPr>
            </w:pPr>
          </w:p>
          <w:p w14:paraId="6AC88991">
            <w:pPr>
              <w:spacing w:line="265" w:lineRule="auto"/>
              <w:rPr>
                <w:rFonts w:ascii="Arial"/>
                <w:sz w:val="21"/>
              </w:rPr>
            </w:pPr>
          </w:p>
          <w:p w14:paraId="14A6B1F4">
            <w:pPr>
              <w:pStyle w:val="6"/>
              <w:spacing w:before="71" w:line="221" w:lineRule="auto"/>
              <w:ind w:left="203"/>
              <w:rPr>
                <w:sz w:val="22"/>
                <w:szCs w:val="22"/>
              </w:rPr>
            </w:pPr>
            <w:r>
              <w:rPr>
                <w:spacing w:val="6"/>
                <w:sz w:val="22"/>
                <w:szCs w:val="22"/>
              </w:rPr>
              <w:t>二级</w:t>
            </w:r>
          </w:p>
          <w:p w14:paraId="29E49479">
            <w:pPr>
              <w:pStyle w:val="6"/>
              <w:spacing w:before="43" w:line="278" w:lineRule="auto"/>
              <w:ind w:left="313" w:right="188" w:hanging="110"/>
              <w:rPr>
                <w:sz w:val="22"/>
                <w:szCs w:val="22"/>
              </w:rPr>
            </w:pPr>
            <w:r>
              <w:rPr>
                <w:spacing w:val="8"/>
                <w:sz w:val="22"/>
                <w:szCs w:val="22"/>
              </w:rPr>
              <w:t>保护</w:t>
            </w:r>
            <w:r>
              <w:rPr>
                <w:sz w:val="22"/>
                <w:szCs w:val="22"/>
              </w:rPr>
              <w:t xml:space="preserve"> 区</w:t>
            </w:r>
          </w:p>
        </w:tc>
        <w:tc>
          <w:tcPr>
            <w:tcW w:w="1768" w:type="dxa"/>
            <w:vAlign w:val="top"/>
          </w:tcPr>
          <w:p w14:paraId="3B83D5CB">
            <w:pPr>
              <w:pStyle w:val="6"/>
              <w:spacing w:before="236" w:line="223" w:lineRule="auto"/>
              <w:ind w:left="105"/>
              <w:rPr>
                <w:sz w:val="22"/>
                <w:szCs w:val="22"/>
              </w:rPr>
            </w:pPr>
            <w:r>
              <w:rPr>
                <w:color w:val="407050"/>
                <w:sz w:val="22"/>
                <w:szCs w:val="22"/>
              </w:rPr>
              <w:t>40°44'4.</w:t>
            </w:r>
            <w:r>
              <w:rPr>
                <w:color w:val="307050"/>
                <w:sz w:val="22"/>
                <w:szCs w:val="22"/>
              </w:rPr>
              <w:t>98"北</w:t>
            </w:r>
          </w:p>
          <w:p w14:paraId="1A751062">
            <w:pPr>
              <w:pStyle w:val="6"/>
              <w:spacing w:before="30" w:line="219" w:lineRule="auto"/>
              <w:jc w:val="right"/>
              <w:rPr>
                <w:sz w:val="22"/>
                <w:szCs w:val="22"/>
              </w:rPr>
            </w:pPr>
            <w:r>
              <w:rPr>
                <w:spacing w:val="-2"/>
                <w:sz w:val="22"/>
                <w:szCs w:val="22"/>
              </w:rPr>
              <w:t>110°15'28.77"东</w:t>
            </w:r>
          </w:p>
        </w:tc>
        <w:tc>
          <w:tcPr>
            <w:tcW w:w="909" w:type="dxa"/>
            <w:vAlign w:val="top"/>
          </w:tcPr>
          <w:p w14:paraId="47462630">
            <w:pPr>
              <w:pStyle w:val="6"/>
              <w:spacing w:before="42" w:line="219" w:lineRule="auto"/>
              <w:ind w:left="227"/>
              <w:rPr>
                <w:sz w:val="22"/>
                <w:szCs w:val="22"/>
              </w:rPr>
            </w:pPr>
            <w:r>
              <w:rPr>
                <w:spacing w:val="11"/>
                <w:sz w:val="22"/>
                <w:szCs w:val="22"/>
              </w:rPr>
              <w:t>沙明</w:t>
            </w:r>
          </w:p>
          <w:p w14:paraId="1214289D">
            <w:pPr>
              <w:pStyle w:val="6"/>
              <w:spacing w:before="48" w:line="242" w:lineRule="auto"/>
              <w:ind w:left="336" w:right="219" w:hanging="109"/>
              <w:rPr>
                <w:sz w:val="22"/>
                <w:szCs w:val="22"/>
              </w:rPr>
            </w:pPr>
            <w:r>
              <w:rPr>
                <w:spacing w:val="6"/>
                <w:sz w:val="22"/>
                <w:szCs w:val="22"/>
              </w:rPr>
              <w:t>线公</w:t>
            </w:r>
            <w:r>
              <w:rPr>
                <w:sz w:val="22"/>
                <w:szCs w:val="22"/>
              </w:rPr>
              <w:t xml:space="preserve"> 路</w:t>
            </w:r>
          </w:p>
        </w:tc>
        <w:tc>
          <w:tcPr>
            <w:tcW w:w="739" w:type="dxa"/>
            <w:vAlign w:val="top"/>
          </w:tcPr>
          <w:p w14:paraId="40111451">
            <w:pPr>
              <w:spacing w:line="310" w:lineRule="auto"/>
              <w:rPr>
                <w:rFonts w:ascii="Arial"/>
                <w:sz w:val="21"/>
              </w:rPr>
            </w:pPr>
          </w:p>
          <w:p w14:paraId="5D211575">
            <w:pPr>
              <w:pStyle w:val="6"/>
              <w:spacing w:before="71"/>
              <w:ind w:left="148"/>
              <w:rPr>
                <w:sz w:val="22"/>
                <w:szCs w:val="22"/>
              </w:rPr>
            </w:pPr>
            <w:r>
              <w:rPr>
                <w:spacing w:val="-1"/>
                <w:sz w:val="22"/>
                <w:szCs w:val="22"/>
              </w:rPr>
              <w:t>696</w:t>
            </w:r>
            <w:r>
              <w:rPr>
                <w:color w:val="405060"/>
                <w:spacing w:val="-1"/>
                <w:sz w:val="22"/>
                <w:szCs w:val="22"/>
              </w:rPr>
              <w:t>m</w:t>
            </w:r>
          </w:p>
        </w:tc>
        <w:tc>
          <w:tcPr>
            <w:tcW w:w="1353" w:type="dxa"/>
            <w:vMerge w:val="restart"/>
            <w:tcBorders>
              <w:bottom w:val="nil"/>
            </w:tcBorders>
            <w:vAlign w:val="top"/>
          </w:tcPr>
          <w:p w14:paraId="620103CC">
            <w:pPr>
              <w:spacing w:line="262" w:lineRule="auto"/>
              <w:rPr>
                <w:rFonts w:ascii="Arial"/>
                <w:sz w:val="21"/>
              </w:rPr>
            </w:pPr>
          </w:p>
          <w:p w14:paraId="1E079179">
            <w:pPr>
              <w:spacing w:line="263" w:lineRule="auto"/>
              <w:rPr>
                <w:rFonts w:ascii="Arial"/>
                <w:sz w:val="21"/>
              </w:rPr>
            </w:pPr>
          </w:p>
          <w:p w14:paraId="05F65D55">
            <w:pPr>
              <w:spacing w:line="263" w:lineRule="auto"/>
              <w:rPr>
                <w:rFonts w:ascii="Arial"/>
                <w:sz w:val="21"/>
              </w:rPr>
            </w:pPr>
          </w:p>
          <w:p w14:paraId="489C9A09">
            <w:pPr>
              <w:spacing w:line="263" w:lineRule="auto"/>
              <w:rPr>
                <w:rFonts w:ascii="Arial"/>
                <w:sz w:val="21"/>
              </w:rPr>
            </w:pPr>
          </w:p>
          <w:p w14:paraId="56C07053">
            <w:pPr>
              <w:spacing w:line="263" w:lineRule="auto"/>
              <w:rPr>
                <w:rFonts w:ascii="Arial"/>
                <w:sz w:val="21"/>
              </w:rPr>
            </w:pPr>
          </w:p>
          <w:p w14:paraId="0C0C0359">
            <w:pPr>
              <w:spacing w:line="263" w:lineRule="auto"/>
              <w:rPr>
                <w:rFonts w:ascii="Arial"/>
                <w:sz w:val="21"/>
              </w:rPr>
            </w:pPr>
          </w:p>
          <w:p w14:paraId="56691A62">
            <w:pPr>
              <w:spacing w:line="263" w:lineRule="auto"/>
              <w:rPr>
                <w:rFonts w:ascii="Arial"/>
                <w:sz w:val="21"/>
              </w:rPr>
            </w:pPr>
          </w:p>
          <w:p w14:paraId="3A690152">
            <w:pPr>
              <w:pStyle w:val="6"/>
              <w:spacing w:before="71" w:line="221" w:lineRule="auto"/>
              <w:ind w:left="229"/>
              <w:rPr>
                <w:sz w:val="22"/>
                <w:szCs w:val="22"/>
              </w:rPr>
            </w:pPr>
            <w:r>
              <w:rPr>
                <w:spacing w:val="2"/>
                <w:sz w:val="22"/>
                <w:szCs w:val="22"/>
              </w:rPr>
              <w:t>交通穿越</w:t>
            </w:r>
          </w:p>
          <w:p w14:paraId="030586EE">
            <w:pPr>
              <w:pStyle w:val="6"/>
              <w:spacing w:before="45" w:line="278" w:lineRule="auto"/>
              <w:ind w:left="558" w:right="217" w:hanging="329"/>
              <w:rPr>
                <w:sz w:val="22"/>
                <w:szCs w:val="22"/>
              </w:rPr>
            </w:pPr>
            <w:r>
              <w:rPr>
                <w:spacing w:val="4"/>
                <w:sz w:val="22"/>
                <w:szCs w:val="22"/>
              </w:rPr>
              <w:t>二级保护</w:t>
            </w:r>
            <w:r>
              <w:rPr>
                <w:sz w:val="22"/>
                <w:szCs w:val="22"/>
              </w:rPr>
              <w:t xml:space="preserve"> 区</w:t>
            </w:r>
          </w:p>
        </w:tc>
      </w:tr>
      <w:tr w14:paraId="0A476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1103" w:type="dxa"/>
            <w:vMerge w:val="restart"/>
            <w:tcBorders>
              <w:bottom w:val="nil"/>
            </w:tcBorders>
            <w:vAlign w:val="top"/>
          </w:tcPr>
          <w:p w14:paraId="58557792">
            <w:pPr>
              <w:spacing w:line="275" w:lineRule="auto"/>
              <w:rPr>
                <w:rFonts w:ascii="Arial"/>
                <w:sz w:val="21"/>
              </w:rPr>
            </w:pPr>
          </w:p>
          <w:p w14:paraId="7CE13F5D">
            <w:pPr>
              <w:spacing w:line="275" w:lineRule="auto"/>
              <w:rPr>
                <w:rFonts w:ascii="Arial"/>
                <w:sz w:val="21"/>
              </w:rPr>
            </w:pPr>
          </w:p>
          <w:p w14:paraId="7E7E4680">
            <w:pPr>
              <w:spacing w:line="275" w:lineRule="auto"/>
              <w:rPr>
                <w:rFonts w:ascii="Arial"/>
                <w:sz w:val="21"/>
              </w:rPr>
            </w:pPr>
          </w:p>
          <w:p w14:paraId="2FDAD652">
            <w:pPr>
              <w:spacing w:line="275" w:lineRule="auto"/>
              <w:rPr>
                <w:rFonts w:ascii="Arial"/>
                <w:sz w:val="21"/>
              </w:rPr>
            </w:pPr>
          </w:p>
          <w:p w14:paraId="73A38C2E">
            <w:pPr>
              <w:spacing w:line="276" w:lineRule="auto"/>
              <w:rPr>
                <w:rFonts w:ascii="Arial"/>
                <w:sz w:val="21"/>
              </w:rPr>
            </w:pPr>
          </w:p>
          <w:p w14:paraId="7DE57709">
            <w:pPr>
              <w:pStyle w:val="6"/>
              <w:spacing w:before="71" w:line="221" w:lineRule="auto"/>
              <w:ind w:left="214"/>
              <w:rPr>
                <w:sz w:val="22"/>
                <w:szCs w:val="22"/>
              </w:rPr>
            </w:pPr>
            <w:r>
              <w:rPr>
                <w:spacing w:val="4"/>
                <w:sz w:val="22"/>
                <w:szCs w:val="22"/>
              </w:rPr>
              <w:t>乡级及</w:t>
            </w:r>
          </w:p>
          <w:p w14:paraId="45313BE3">
            <w:pPr>
              <w:pStyle w:val="6"/>
              <w:spacing w:before="55" w:line="269" w:lineRule="auto"/>
              <w:ind w:left="433" w:right="207" w:hanging="219"/>
              <w:rPr>
                <w:sz w:val="22"/>
                <w:szCs w:val="22"/>
              </w:rPr>
            </w:pPr>
            <w:r>
              <w:rPr>
                <w:spacing w:val="3"/>
                <w:sz w:val="22"/>
                <w:szCs w:val="22"/>
              </w:rPr>
              <w:t>以下道</w:t>
            </w:r>
            <w:r>
              <w:rPr>
                <w:sz w:val="22"/>
                <w:szCs w:val="22"/>
              </w:rPr>
              <w:t xml:space="preserve"> 路</w:t>
            </w:r>
          </w:p>
        </w:tc>
        <w:tc>
          <w:tcPr>
            <w:tcW w:w="1778" w:type="dxa"/>
            <w:vAlign w:val="top"/>
          </w:tcPr>
          <w:p w14:paraId="208AB645">
            <w:pPr>
              <w:pStyle w:val="6"/>
              <w:spacing w:before="213" w:line="291" w:lineRule="auto"/>
              <w:ind w:left="551" w:right="187" w:hanging="350"/>
              <w:rPr>
                <w:sz w:val="22"/>
                <w:szCs w:val="22"/>
              </w:rPr>
            </w:pPr>
            <w:r>
              <w:rPr>
                <w:spacing w:val="32"/>
                <w:sz w:val="22"/>
                <w:szCs w:val="22"/>
              </w:rPr>
              <w:t>介于</w:t>
            </w:r>
            <w:r>
              <w:rPr>
                <w:sz w:val="22"/>
                <w:szCs w:val="22"/>
              </w:rPr>
              <w:t>NT</w:t>
            </w:r>
            <w:r>
              <w:rPr>
                <w:spacing w:val="-54"/>
                <w:sz w:val="22"/>
                <w:szCs w:val="22"/>
              </w:rPr>
              <w:t xml:space="preserve"> </w:t>
            </w:r>
            <w:r>
              <w:rPr>
                <w:spacing w:val="32"/>
                <w:sz w:val="22"/>
                <w:szCs w:val="22"/>
              </w:rPr>
              <w:t>-</w:t>
            </w:r>
            <w:r>
              <w:rPr>
                <w:spacing w:val="-49"/>
                <w:sz w:val="22"/>
                <w:szCs w:val="22"/>
              </w:rPr>
              <w:t xml:space="preserve"> </w:t>
            </w:r>
            <w:r>
              <w:rPr>
                <w:spacing w:val="32"/>
                <w:sz w:val="22"/>
                <w:szCs w:val="22"/>
              </w:rPr>
              <w:t>5与</w:t>
            </w:r>
            <w:r>
              <w:rPr>
                <w:sz w:val="22"/>
                <w:szCs w:val="22"/>
              </w:rPr>
              <w:t xml:space="preserve"> </w:t>
            </w:r>
            <w:r>
              <w:rPr>
                <w:spacing w:val="-1"/>
                <w:sz w:val="22"/>
                <w:szCs w:val="22"/>
              </w:rPr>
              <w:t>NT-6-1</w:t>
            </w:r>
          </w:p>
        </w:tc>
        <w:tc>
          <w:tcPr>
            <w:tcW w:w="859" w:type="dxa"/>
            <w:vMerge w:val="continue"/>
            <w:tcBorders>
              <w:top w:val="nil"/>
              <w:bottom w:val="nil"/>
            </w:tcBorders>
            <w:vAlign w:val="top"/>
          </w:tcPr>
          <w:p w14:paraId="1D23909F">
            <w:pPr>
              <w:rPr>
                <w:rFonts w:ascii="Arial"/>
                <w:sz w:val="21"/>
              </w:rPr>
            </w:pPr>
          </w:p>
        </w:tc>
        <w:tc>
          <w:tcPr>
            <w:tcW w:w="1768" w:type="dxa"/>
            <w:vAlign w:val="top"/>
          </w:tcPr>
          <w:p w14:paraId="05485F19">
            <w:pPr>
              <w:pStyle w:val="6"/>
              <w:spacing w:before="57" w:line="223" w:lineRule="auto"/>
              <w:ind w:left="105"/>
              <w:rPr>
                <w:sz w:val="22"/>
                <w:szCs w:val="22"/>
              </w:rPr>
            </w:pPr>
            <w:r>
              <w:rPr>
                <w:sz w:val="22"/>
                <w:szCs w:val="22"/>
              </w:rPr>
              <w:t>40°43'8.16"北</w:t>
            </w:r>
          </w:p>
          <w:p w14:paraId="4443225D">
            <w:pPr>
              <w:pStyle w:val="6"/>
              <w:spacing w:before="62" w:line="233" w:lineRule="auto"/>
              <w:ind w:left="105"/>
              <w:rPr>
                <w:sz w:val="22"/>
                <w:szCs w:val="22"/>
              </w:rPr>
            </w:pPr>
            <w:r>
              <w:rPr>
                <w:spacing w:val="-2"/>
                <w:sz w:val="22"/>
                <w:szCs w:val="22"/>
              </w:rPr>
              <w:t>110°15'34.14"</w:t>
            </w:r>
          </w:p>
          <w:p w14:paraId="59F3C105">
            <w:pPr>
              <w:pStyle w:val="6"/>
              <w:spacing w:line="214" w:lineRule="auto"/>
              <w:ind w:left="764"/>
              <w:rPr>
                <w:sz w:val="22"/>
                <w:szCs w:val="22"/>
              </w:rPr>
            </w:pPr>
            <w:r>
              <w:rPr>
                <w:sz w:val="22"/>
                <w:szCs w:val="22"/>
              </w:rPr>
              <w:t>东</w:t>
            </w:r>
          </w:p>
        </w:tc>
        <w:tc>
          <w:tcPr>
            <w:tcW w:w="909" w:type="dxa"/>
            <w:vAlign w:val="top"/>
          </w:tcPr>
          <w:p w14:paraId="514D13FE">
            <w:pPr>
              <w:spacing w:line="311" w:lineRule="auto"/>
              <w:rPr>
                <w:rFonts w:ascii="Arial"/>
                <w:sz w:val="21"/>
              </w:rPr>
            </w:pPr>
          </w:p>
          <w:p w14:paraId="0514034C">
            <w:pPr>
              <w:pStyle w:val="6"/>
              <w:spacing w:before="71"/>
              <w:ind w:left="177"/>
              <w:rPr>
                <w:sz w:val="22"/>
                <w:szCs w:val="22"/>
              </w:rPr>
            </w:pPr>
            <w:r>
              <w:rPr>
                <w:spacing w:val="-2"/>
                <w:sz w:val="22"/>
                <w:szCs w:val="22"/>
              </w:rPr>
              <w:t>CDL-1</w:t>
            </w:r>
          </w:p>
        </w:tc>
        <w:tc>
          <w:tcPr>
            <w:tcW w:w="739" w:type="dxa"/>
            <w:vAlign w:val="top"/>
          </w:tcPr>
          <w:p w14:paraId="6B091C73">
            <w:pPr>
              <w:spacing w:line="311" w:lineRule="auto"/>
              <w:rPr>
                <w:rFonts w:ascii="Arial"/>
                <w:sz w:val="21"/>
              </w:rPr>
            </w:pPr>
          </w:p>
          <w:p w14:paraId="06D51A22">
            <w:pPr>
              <w:pStyle w:val="6"/>
              <w:spacing w:before="71"/>
              <w:ind w:left="148"/>
              <w:rPr>
                <w:sz w:val="22"/>
                <w:szCs w:val="22"/>
              </w:rPr>
            </w:pPr>
            <w:r>
              <w:rPr>
                <w:spacing w:val="-1"/>
                <w:sz w:val="22"/>
                <w:szCs w:val="22"/>
              </w:rPr>
              <w:t>556</w:t>
            </w:r>
            <w:r>
              <w:rPr>
                <w:color w:val="304040"/>
                <w:spacing w:val="-1"/>
                <w:sz w:val="22"/>
                <w:szCs w:val="22"/>
              </w:rPr>
              <w:t>m</w:t>
            </w:r>
          </w:p>
        </w:tc>
        <w:tc>
          <w:tcPr>
            <w:tcW w:w="1353" w:type="dxa"/>
            <w:vMerge w:val="continue"/>
            <w:tcBorders>
              <w:top w:val="nil"/>
              <w:bottom w:val="nil"/>
            </w:tcBorders>
            <w:vAlign w:val="top"/>
          </w:tcPr>
          <w:p w14:paraId="088FFE10">
            <w:pPr>
              <w:rPr>
                <w:rFonts w:ascii="Arial"/>
                <w:sz w:val="21"/>
              </w:rPr>
            </w:pPr>
          </w:p>
        </w:tc>
      </w:tr>
      <w:tr w14:paraId="44663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1103" w:type="dxa"/>
            <w:vMerge w:val="continue"/>
            <w:tcBorders>
              <w:top w:val="nil"/>
              <w:bottom w:val="nil"/>
            </w:tcBorders>
            <w:vAlign w:val="top"/>
          </w:tcPr>
          <w:p w14:paraId="1ED5E3BC">
            <w:pPr>
              <w:rPr>
                <w:rFonts w:ascii="Arial"/>
                <w:sz w:val="21"/>
              </w:rPr>
            </w:pPr>
          </w:p>
        </w:tc>
        <w:tc>
          <w:tcPr>
            <w:tcW w:w="1778" w:type="dxa"/>
            <w:vAlign w:val="top"/>
          </w:tcPr>
          <w:p w14:paraId="21AB499D">
            <w:pPr>
              <w:spacing w:line="292" w:lineRule="auto"/>
              <w:rPr>
                <w:rFonts w:ascii="Arial"/>
                <w:sz w:val="21"/>
              </w:rPr>
            </w:pPr>
          </w:p>
          <w:p w14:paraId="4A987B77">
            <w:pPr>
              <w:pStyle w:val="6"/>
              <w:spacing w:before="72" w:line="221" w:lineRule="auto"/>
              <w:ind w:left="332"/>
              <w:rPr>
                <w:sz w:val="22"/>
                <w:szCs w:val="22"/>
              </w:rPr>
            </w:pPr>
            <w:r>
              <w:rPr>
                <w:spacing w:val="2"/>
                <w:sz w:val="22"/>
                <w:szCs w:val="22"/>
              </w:rPr>
              <w:t>穿越</w:t>
            </w:r>
            <w:r>
              <w:rPr>
                <w:sz w:val="22"/>
                <w:szCs w:val="22"/>
              </w:rPr>
              <w:t>NT</w:t>
            </w:r>
            <w:r>
              <w:rPr>
                <w:spacing w:val="2"/>
                <w:sz w:val="22"/>
                <w:szCs w:val="22"/>
              </w:rPr>
              <w:t>-6-2</w:t>
            </w:r>
          </w:p>
        </w:tc>
        <w:tc>
          <w:tcPr>
            <w:tcW w:w="859" w:type="dxa"/>
            <w:vMerge w:val="continue"/>
            <w:tcBorders>
              <w:top w:val="nil"/>
              <w:bottom w:val="nil"/>
            </w:tcBorders>
            <w:vAlign w:val="top"/>
          </w:tcPr>
          <w:p w14:paraId="78142547">
            <w:pPr>
              <w:rPr>
                <w:rFonts w:ascii="Arial"/>
                <w:sz w:val="21"/>
              </w:rPr>
            </w:pPr>
          </w:p>
        </w:tc>
        <w:tc>
          <w:tcPr>
            <w:tcW w:w="1768" w:type="dxa"/>
            <w:vAlign w:val="top"/>
          </w:tcPr>
          <w:p w14:paraId="7A81C49C">
            <w:pPr>
              <w:pStyle w:val="6"/>
              <w:spacing w:before="69" w:line="223" w:lineRule="auto"/>
              <w:ind w:left="55"/>
              <w:rPr>
                <w:sz w:val="22"/>
                <w:szCs w:val="22"/>
              </w:rPr>
            </w:pPr>
            <w:r>
              <w:rPr>
                <w:spacing w:val="-1"/>
                <w:sz w:val="22"/>
                <w:szCs w:val="22"/>
              </w:rPr>
              <w:t>40°43'34.91"北</w:t>
            </w:r>
          </w:p>
          <w:p w14:paraId="5A0621A9">
            <w:pPr>
              <w:pStyle w:val="6"/>
              <w:spacing w:before="72" w:line="233" w:lineRule="auto"/>
              <w:ind w:left="105"/>
              <w:rPr>
                <w:sz w:val="22"/>
                <w:szCs w:val="22"/>
              </w:rPr>
            </w:pPr>
            <w:r>
              <w:rPr>
                <w:spacing w:val="-2"/>
                <w:sz w:val="22"/>
                <w:szCs w:val="22"/>
              </w:rPr>
              <w:t>110°15'19.91"</w:t>
            </w:r>
          </w:p>
          <w:p w14:paraId="449A4FB0">
            <w:pPr>
              <w:pStyle w:val="6"/>
              <w:spacing w:before="1" w:line="204" w:lineRule="auto"/>
              <w:ind w:left="764"/>
              <w:rPr>
                <w:sz w:val="22"/>
                <w:szCs w:val="22"/>
              </w:rPr>
            </w:pPr>
            <w:r>
              <w:rPr>
                <w:sz w:val="22"/>
                <w:szCs w:val="22"/>
              </w:rPr>
              <w:t>东</w:t>
            </w:r>
          </w:p>
        </w:tc>
        <w:tc>
          <w:tcPr>
            <w:tcW w:w="909" w:type="dxa"/>
            <w:vAlign w:val="top"/>
          </w:tcPr>
          <w:p w14:paraId="445D14A0">
            <w:pPr>
              <w:spacing w:line="312" w:lineRule="auto"/>
              <w:rPr>
                <w:rFonts w:ascii="Arial"/>
                <w:sz w:val="21"/>
              </w:rPr>
            </w:pPr>
          </w:p>
          <w:p w14:paraId="0ED60B96">
            <w:pPr>
              <w:pStyle w:val="6"/>
              <w:spacing w:before="72"/>
              <w:ind w:left="177"/>
              <w:rPr>
                <w:sz w:val="22"/>
                <w:szCs w:val="22"/>
              </w:rPr>
            </w:pPr>
            <w:r>
              <w:rPr>
                <w:spacing w:val="-2"/>
                <w:sz w:val="22"/>
                <w:szCs w:val="22"/>
              </w:rPr>
              <w:t>CDL-2</w:t>
            </w:r>
          </w:p>
        </w:tc>
        <w:tc>
          <w:tcPr>
            <w:tcW w:w="739" w:type="dxa"/>
            <w:vAlign w:val="top"/>
          </w:tcPr>
          <w:p w14:paraId="430E620E">
            <w:pPr>
              <w:spacing w:line="312" w:lineRule="auto"/>
              <w:rPr>
                <w:rFonts w:ascii="Arial"/>
                <w:sz w:val="21"/>
              </w:rPr>
            </w:pPr>
          </w:p>
          <w:p w14:paraId="5F0C2965">
            <w:pPr>
              <w:pStyle w:val="6"/>
              <w:spacing w:before="72"/>
              <w:ind w:left="148"/>
              <w:rPr>
                <w:sz w:val="22"/>
                <w:szCs w:val="22"/>
              </w:rPr>
            </w:pPr>
            <w:r>
              <w:rPr>
                <w:spacing w:val="-2"/>
                <w:sz w:val="22"/>
                <w:szCs w:val="22"/>
              </w:rPr>
              <w:t>916m</w:t>
            </w:r>
          </w:p>
        </w:tc>
        <w:tc>
          <w:tcPr>
            <w:tcW w:w="1353" w:type="dxa"/>
            <w:vMerge w:val="continue"/>
            <w:tcBorders>
              <w:top w:val="nil"/>
              <w:bottom w:val="nil"/>
            </w:tcBorders>
            <w:vAlign w:val="top"/>
          </w:tcPr>
          <w:p w14:paraId="3DBC9038">
            <w:pPr>
              <w:rPr>
                <w:rFonts w:ascii="Arial"/>
                <w:sz w:val="21"/>
              </w:rPr>
            </w:pPr>
          </w:p>
        </w:tc>
      </w:tr>
      <w:tr w14:paraId="6FD15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03" w:type="dxa"/>
            <w:vMerge w:val="continue"/>
            <w:tcBorders>
              <w:top w:val="nil"/>
              <w:bottom w:val="nil"/>
            </w:tcBorders>
            <w:vAlign w:val="top"/>
          </w:tcPr>
          <w:p w14:paraId="319B907E">
            <w:pPr>
              <w:rPr>
                <w:rFonts w:ascii="Arial"/>
                <w:sz w:val="21"/>
              </w:rPr>
            </w:pPr>
          </w:p>
        </w:tc>
        <w:tc>
          <w:tcPr>
            <w:tcW w:w="1778" w:type="dxa"/>
            <w:vAlign w:val="top"/>
          </w:tcPr>
          <w:p w14:paraId="59F5F3F2">
            <w:pPr>
              <w:pStyle w:val="6"/>
              <w:spacing w:before="27" w:line="244" w:lineRule="auto"/>
              <w:ind w:left="421" w:right="286" w:hanging="40"/>
              <w:rPr>
                <w:sz w:val="22"/>
                <w:szCs w:val="22"/>
              </w:rPr>
            </w:pPr>
            <w:r>
              <w:rPr>
                <w:sz w:val="22"/>
                <w:szCs w:val="22"/>
              </w:rPr>
              <w:t xml:space="preserve">武当沟西， </w:t>
            </w:r>
            <w:r>
              <w:rPr>
                <w:spacing w:val="-5"/>
                <w:sz w:val="22"/>
                <w:szCs w:val="22"/>
              </w:rPr>
              <w:t>N</w:t>
            </w:r>
            <w:r>
              <w:rPr>
                <w:spacing w:val="-32"/>
                <w:sz w:val="22"/>
                <w:szCs w:val="22"/>
              </w:rPr>
              <w:t xml:space="preserve"> </w:t>
            </w:r>
            <w:r>
              <w:rPr>
                <w:spacing w:val="-5"/>
                <w:sz w:val="22"/>
                <w:szCs w:val="22"/>
              </w:rPr>
              <w:t>T</w:t>
            </w:r>
            <w:r>
              <w:rPr>
                <w:spacing w:val="-33"/>
                <w:sz w:val="22"/>
                <w:szCs w:val="22"/>
              </w:rPr>
              <w:t xml:space="preserve"> </w:t>
            </w:r>
            <w:r>
              <w:rPr>
                <w:spacing w:val="-5"/>
                <w:sz w:val="22"/>
                <w:szCs w:val="22"/>
              </w:rPr>
              <w:t>-</w:t>
            </w:r>
            <w:r>
              <w:rPr>
                <w:spacing w:val="-32"/>
                <w:sz w:val="22"/>
                <w:szCs w:val="22"/>
              </w:rPr>
              <w:t xml:space="preserve"> </w:t>
            </w:r>
            <w:r>
              <w:rPr>
                <w:spacing w:val="-5"/>
                <w:sz w:val="22"/>
                <w:szCs w:val="22"/>
              </w:rPr>
              <w:t>4</w:t>
            </w:r>
            <w:r>
              <w:rPr>
                <w:spacing w:val="-23"/>
                <w:sz w:val="22"/>
                <w:szCs w:val="22"/>
              </w:rPr>
              <w:t xml:space="preserve"> </w:t>
            </w:r>
            <w:r>
              <w:rPr>
                <w:spacing w:val="-5"/>
                <w:sz w:val="22"/>
                <w:szCs w:val="22"/>
              </w:rPr>
              <w:t>东</w:t>
            </w:r>
          </w:p>
        </w:tc>
        <w:tc>
          <w:tcPr>
            <w:tcW w:w="859" w:type="dxa"/>
            <w:vMerge w:val="continue"/>
            <w:tcBorders>
              <w:top w:val="nil"/>
              <w:bottom w:val="nil"/>
            </w:tcBorders>
            <w:vAlign w:val="top"/>
          </w:tcPr>
          <w:p w14:paraId="132B6468">
            <w:pPr>
              <w:rPr>
                <w:rFonts w:ascii="Arial"/>
                <w:sz w:val="21"/>
              </w:rPr>
            </w:pPr>
          </w:p>
        </w:tc>
        <w:tc>
          <w:tcPr>
            <w:tcW w:w="1768" w:type="dxa"/>
            <w:vAlign w:val="top"/>
          </w:tcPr>
          <w:p w14:paraId="75C09712">
            <w:pPr>
              <w:pStyle w:val="6"/>
              <w:spacing w:before="70" w:line="226" w:lineRule="auto"/>
              <w:ind w:left="14" w:firstLine="39"/>
              <w:rPr>
                <w:sz w:val="22"/>
                <w:szCs w:val="22"/>
              </w:rPr>
            </w:pPr>
            <w:r>
              <w:rPr>
                <w:spacing w:val="-2"/>
                <w:sz w:val="22"/>
                <w:szCs w:val="22"/>
              </w:rPr>
              <w:t>40°43'20.41"北</w:t>
            </w:r>
            <w:r>
              <w:rPr>
                <w:spacing w:val="1"/>
                <w:sz w:val="22"/>
                <w:szCs w:val="22"/>
              </w:rPr>
              <w:t xml:space="preserve"> </w:t>
            </w:r>
            <w:r>
              <w:rPr>
                <w:spacing w:val="-2"/>
                <w:sz w:val="22"/>
                <w:szCs w:val="22"/>
              </w:rPr>
              <w:t>110°15'17.79"东</w:t>
            </w:r>
          </w:p>
        </w:tc>
        <w:tc>
          <w:tcPr>
            <w:tcW w:w="909" w:type="dxa"/>
            <w:vAlign w:val="top"/>
          </w:tcPr>
          <w:p w14:paraId="0EEC39D1">
            <w:pPr>
              <w:pStyle w:val="6"/>
              <w:spacing w:before="228" w:line="241" w:lineRule="auto"/>
              <w:ind w:left="177"/>
              <w:rPr>
                <w:sz w:val="22"/>
                <w:szCs w:val="22"/>
              </w:rPr>
            </w:pPr>
            <w:r>
              <w:rPr>
                <w:spacing w:val="-2"/>
                <w:sz w:val="22"/>
                <w:szCs w:val="22"/>
              </w:rPr>
              <w:t>YDL-1</w:t>
            </w:r>
          </w:p>
        </w:tc>
        <w:tc>
          <w:tcPr>
            <w:tcW w:w="739" w:type="dxa"/>
            <w:vAlign w:val="top"/>
          </w:tcPr>
          <w:p w14:paraId="2D665FD4">
            <w:pPr>
              <w:pStyle w:val="6"/>
              <w:spacing w:before="227"/>
              <w:ind w:left="148"/>
              <w:rPr>
                <w:sz w:val="22"/>
                <w:szCs w:val="22"/>
              </w:rPr>
            </w:pPr>
            <w:r>
              <w:rPr>
                <w:spacing w:val="-2"/>
                <w:sz w:val="22"/>
                <w:szCs w:val="22"/>
              </w:rPr>
              <w:t>967m</w:t>
            </w:r>
          </w:p>
        </w:tc>
        <w:tc>
          <w:tcPr>
            <w:tcW w:w="1353" w:type="dxa"/>
            <w:vMerge w:val="continue"/>
            <w:tcBorders>
              <w:top w:val="nil"/>
              <w:bottom w:val="nil"/>
            </w:tcBorders>
            <w:vAlign w:val="top"/>
          </w:tcPr>
          <w:p w14:paraId="6EE58F2B">
            <w:pPr>
              <w:rPr>
                <w:rFonts w:ascii="Arial"/>
                <w:sz w:val="21"/>
              </w:rPr>
            </w:pPr>
          </w:p>
        </w:tc>
      </w:tr>
      <w:tr w14:paraId="11BE6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03" w:type="dxa"/>
            <w:vMerge w:val="continue"/>
            <w:tcBorders>
              <w:top w:val="nil"/>
              <w:bottom w:val="nil"/>
            </w:tcBorders>
            <w:vAlign w:val="top"/>
          </w:tcPr>
          <w:p w14:paraId="69647C4E">
            <w:pPr>
              <w:rPr>
                <w:rFonts w:ascii="Arial"/>
                <w:sz w:val="21"/>
              </w:rPr>
            </w:pPr>
          </w:p>
        </w:tc>
        <w:tc>
          <w:tcPr>
            <w:tcW w:w="1778" w:type="dxa"/>
            <w:vAlign w:val="top"/>
          </w:tcPr>
          <w:p w14:paraId="6A005849">
            <w:pPr>
              <w:pStyle w:val="6"/>
              <w:spacing w:before="27" w:line="244" w:lineRule="auto"/>
              <w:ind w:left="421" w:right="286" w:hanging="40"/>
              <w:rPr>
                <w:sz w:val="22"/>
                <w:szCs w:val="22"/>
              </w:rPr>
            </w:pPr>
            <w:r>
              <w:rPr>
                <w:sz w:val="22"/>
                <w:szCs w:val="22"/>
              </w:rPr>
              <w:t xml:space="preserve">武当沟西， </w:t>
            </w:r>
            <w:r>
              <w:rPr>
                <w:spacing w:val="-6"/>
                <w:sz w:val="22"/>
                <w:szCs w:val="22"/>
              </w:rPr>
              <w:t>N</w:t>
            </w:r>
            <w:r>
              <w:rPr>
                <w:spacing w:val="-34"/>
                <w:sz w:val="22"/>
                <w:szCs w:val="22"/>
              </w:rPr>
              <w:t xml:space="preserve"> </w:t>
            </w:r>
            <w:r>
              <w:rPr>
                <w:spacing w:val="-6"/>
                <w:sz w:val="22"/>
                <w:szCs w:val="22"/>
              </w:rPr>
              <w:t>T</w:t>
            </w:r>
            <w:r>
              <w:rPr>
                <w:spacing w:val="-32"/>
                <w:sz w:val="22"/>
                <w:szCs w:val="22"/>
              </w:rPr>
              <w:t xml:space="preserve"> </w:t>
            </w:r>
            <w:r>
              <w:rPr>
                <w:spacing w:val="-6"/>
                <w:sz w:val="22"/>
                <w:szCs w:val="22"/>
              </w:rPr>
              <w:t>-</w:t>
            </w:r>
            <w:r>
              <w:rPr>
                <w:spacing w:val="-26"/>
                <w:sz w:val="22"/>
                <w:szCs w:val="22"/>
              </w:rPr>
              <w:t xml:space="preserve"> </w:t>
            </w:r>
            <w:r>
              <w:rPr>
                <w:spacing w:val="-6"/>
                <w:sz w:val="22"/>
                <w:szCs w:val="22"/>
              </w:rPr>
              <w:t>7</w:t>
            </w:r>
            <w:r>
              <w:rPr>
                <w:spacing w:val="-23"/>
                <w:sz w:val="22"/>
                <w:szCs w:val="22"/>
              </w:rPr>
              <w:t xml:space="preserve"> </w:t>
            </w:r>
            <w:r>
              <w:rPr>
                <w:spacing w:val="-6"/>
                <w:sz w:val="22"/>
                <w:szCs w:val="22"/>
              </w:rPr>
              <w:t>东</w:t>
            </w:r>
          </w:p>
        </w:tc>
        <w:tc>
          <w:tcPr>
            <w:tcW w:w="859" w:type="dxa"/>
            <w:vMerge w:val="continue"/>
            <w:tcBorders>
              <w:top w:val="nil"/>
              <w:bottom w:val="nil"/>
            </w:tcBorders>
            <w:vAlign w:val="top"/>
          </w:tcPr>
          <w:p w14:paraId="54CE9FDE">
            <w:pPr>
              <w:rPr>
                <w:rFonts w:ascii="Arial"/>
                <w:sz w:val="21"/>
              </w:rPr>
            </w:pPr>
          </w:p>
        </w:tc>
        <w:tc>
          <w:tcPr>
            <w:tcW w:w="1768" w:type="dxa"/>
            <w:vAlign w:val="top"/>
          </w:tcPr>
          <w:p w14:paraId="6309CE62">
            <w:pPr>
              <w:pStyle w:val="6"/>
              <w:spacing w:before="60" w:line="230" w:lineRule="auto"/>
              <w:ind w:left="14" w:firstLine="39"/>
              <w:rPr>
                <w:sz w:val="22"/>
                <w:szCs w:val="22"/>
              </w:rPr>
            </w:pPr>
            <w:r>
              <w:rPr>
                <w:spacing w:val="-2"/>
                <w:sz w:val="22"/>
                <w:szCs w:val="22"/>
              </w:rPr>
              <w:t>40°43'34.91"北</w:t>
            </w:r>
            <w:r>
              <w:rPr>
                <w:spacing w:val="1"/>
                <w:sz w:val="22"/>
                <w:szCs w:val="22"/>
              </w:rPr>
              <w:t xml:space="preserve"> </w:t>
            </w:r>
            <w:r>
              <w:rPr>
                <w:spacing w:val="-2"/>
                <w:sz w:val="22"/>
                <w:szCs w:val="22"/>
              </w:rPr>
              <w:t>110°15'19.91"东</w:t>
            </w:r>
          </w:p>
        </w:tc>
        <w:tc>
          <w:tcPr>
            <w:tcW w:w="909" w:type="dxa"/>
            <w:vAlign w:val="top"/>
          </w:tcPr>
          <w:p w14:paraId="53D5203D">
            <w:pPr>
              <w:pStyle w:val="6"/>
              <w:spacing w:before="229" w:line="241" w:lineRule="auto"/>
              <w:ind w:left="177"/>
              <w:rPr>
                <w:sz w:val="22"/>
                <w:szCs w:val="22"/>
              </w:rPr>
            </w:pPr>
            <w:r>
              <w:rPr>
                <w:spacing w:val="-2"/>
                <w:sz w:val="22"/>
                <w:szCs w:val="22"/>
              </w:rPr>
              <w:t>YDL-2</w:t>
            </w:r>
          </w:p>
        </w:tc>
        <w:tc>
          <w:tcPr>
            <w:tcW w:w="739" w:type="dxa"/>
            <w:vAlign w:val="top"/>
          </w:tcPr>
          <w:p w14:paraId="1ED41E2A">
            <w:pPr>
              <w:pStyle w:val="6"/>
              <w:spacing w:before="79" w:line="222" w:lineRule="auto"/>
              <w:ind w:left="307" w:right="165" w:hanging="159"/>
              <w:rPr>
                <w:sz w:val="22"/>
                <w:szCs w:val="22"/>
              </w:rPr>
            </w:pPr>
            <w:r>
              <w:rPr>
                <w:spacing w:val="-7"/>
                <w:sz w:val="22"/>
                <w:szCs w:val="22"/>
              </w:rPr>
              <w:t>1394</w:t>
            </w:r>
            <w:r>
              <w:rPr>
                <w:spacing w:val="2"/>
                <w:sz w:val="22"/>
                <w:szCs w:val="22"/>
              </w:rPr>
              <w:t xml:space="preserve"> </w:t>
            </w:r>
            <w:r>
              <w:rPr>
                <w:sz w:val="22"/>
                <w:szCs w:val="22"/>
              </w:rPr>
              <w:t>m</w:t>
            </w:r>
          </w:p>
        </w:tc>
        <w:tc>
          <w:tcPr>
            <w:tcW w:w="1353" w:type="dxa"/>
            <w:vMerge w:val="continue"/>
            <w:tcBorders>
              <w:top w:val="nil"/>
              <w:bottom w:val="nil"/>
            </w:tcBorders>
            <w:vAlign w:val="top"/>
          </w:tcPr>
          <w:p w14:paraId="16990428">
            <w:pPr>
              <w:rPr>
                <w:rFonts w:ascii="Arial"/>
                <w:sz w:val="21"/>
              </w:rPr>
            </w:pPr>
          </w:p>
        </w:tc>
      </w:tr>
      <w:tr w14:paraId="39A4C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03" w:type="dxa"/>
            <w:vMerge w:val="continue"/>
            <w:tcBorders>
              <w:top w:val="nil"/>
            </w:tcBorders>
            <w:vAlign w:val="top"/>
          </w:tcPr>
          <w:p w14:paraId="0AD691CB">
            <w:pPr>
              <w:rPr>
                <w:rFonts w:ascii="Arial"/>
                <w:sz w:val="21"/>
              </w:rPr>
            </w:pPr>
          </w:p>
        </w:tc>
        <w:tc>
          <w:tcPr>
            <w:tcW w:w="1778" w:type="dxa"/>
            <w:vAlign w:val="top"/>
          </w:tcPr>
          <w:p w14:paraId="4F50912A">
            <w:pPr>
              <w:pStyle w:val="6"/>
              <w:spacing w:before="209" w:line="221" w:lineRule="auto"/>
              <w:ind w:left="441"/>
              <w:rPr>
                <w:sz w:val="22"/>
                <w:szCs w:val="22"/>
              </w:rPr>
            </w:pPr>
            <w:r>
              <w:rPr>
                <w:spacing w:val="3"/>
                <w:sz w:val="22"/>
                <w:szCs w:val="22"/>
              </w:rPr>
              <w:t>穿越</w:t>
            </w:r>
            <w:r>
              <w:rPr>
                <w:sz w:val="22"/>
                <w:szCs w:val="22"/>
              </w:rPr>
              <w:t>NT</w:t>
            </w:r>
            <w:r>
              <w:rPr>
                <w:spacing w:val="3"/>
                <w:sz w:val="22"/>
                <w:szCs w:val="22"/>
              </w:rPr>
              <w:t>-7</w:t>
            </w:r>
          </w:p>
        </w:tc>
        <w:tc>
          <w:tcPr>
            <w:tcW w:w="859" w:type="dxa"/>
            <w:vMerge w:val="continue"/>
            <w:tcBorders>
              <w:top w:val="nil"/>
            </w:tcBorders>
            <w:vAlign w:val="top"/>
          </w:tcPr>
          <w:p w14:paraId="0252B745">
            <w:pPr>
              <w:rPr>
                <w:rFonts w:ascii="Arial"/>
                <w:sz w:val="21"/>
              </w:rPr>
            </w:pPr>
          </w:p>
        </w:tc>
        <w:tc>
          <w:tcPr>
            <w:tcW w:w="1768" w:type="dxa"/>
            <w:vAlign w:val="top"/>
          </w:tcPr>
          <w:p w14:paraId="40F24195">
            <w:pPr>
              <w:pStyle w:val="6"/>
              <w:spacing w:before="72" w:line="225" w:lineRule="auto"/>
              <w:ind w:left="55" w:right="33"/>
              <w:rPr>
                <w:sz w:val="22"/>
                <w:szCs w:val="22"/>
              </w:rPr>
            </w:pPr>
            <w:r>
              <w:rPr>
                <w:spacing w:val="-1"/>
                <w:sz w:val="22"/>
                <w:szCs w:val="22"/>
              </w:rPr>
              <w:t>40°43'47.53"北</w:t>
            </w:r>
            <w:r>
              <w:rPr>
                <w:spacing w:val="4"/>
                <w:sz w:val="22"/>
                <w:szCs w:val="22"/>
              </w:rPr>
              <w:t xml:space="preserve"> </w:t>
            </w:r>
            <w:r>
              <w:rPr>
                <w:spacing w:val="1"/>
                <w:sz w:val="22"/>
                <w:szCs w:val="22"/>
              </w:rPr>
              <w:t>110°15'3.16"东</w:t>
            </w:r>
          </w:p>
        </w:tc>
        <w:tc>
          <w:tcPr>
            <w:tcW w:w="909" w:type="dxa"/>
            <w:vAlign w:val="top"/>
          </w:tcPr>
          <w:p w14:paraId="171159C4">
            <w:pPr>
              <w:pStyle w:val="6"/>
              <w:spacing w:before="229"/>
              <w:ind w:left="177"/>
              <w:rPr>
                <w:sz w:val="22"/>
                <w:szCs w:val="22"/>
              </w:rPr>
            </w:pPr>
            <w:r>
              <w:rPr>
                <w:spacing w:val="-2"/>
                <w:sz w:val="22"/>
                <w:szCs w:val="22"/>
              </w:rPr>
              <w:t>YDL-3</w:t>
            </w:r>
          </w:p>
        </w:tc>
        <w:tc>
          <w:tcPr>
            <w:tcW w:w="739" w:type="dxa"/>
            <w:vAlign w:val="top"/>
          </w:tcPr>
          <w:p w14:paraId="190D86BC">
            <w:pPr>
              <w:pStyle w:val="6"/>
              <w:spacing w:before="229"/>
              <w:ind w:left="148"/>
              <w:rPr>
                <w:sz w:val="22"/>
                <w:szCs w:val="22"/>
              </w:rPr>
            </w:pPr>
            <w:r>
              <w:rPr>
                <w:spacing w:val="-3"/>
                <w:sz w:val="22"/>
                <w:szCs w:val="22"/>
              </w:rPr>
              <w:t>321m</w:t>
            </w:r>
          </w:p>
        </w:tc>
        <w:tc>
          <w:tcPr>
            <w:tcW w:w="1353" w:type="dxa"/>
            <w:vMerge w:val="continue"/>
            <w:tcBorders>
              <w:top w:val="nil"/>
            </w:tcBorders>
            <w:vAlign w:val="top"/>
          </w:tcPr>
          <w:p w14:paraId="2251BC45">
            <w:pPr>
              <w:rPr>
                <w:rFonts w:ascii="Arial"/>
                <w:sz w:val="21"/>
              </w:rPr>
            </w:pPr>
          </w:p>
        </w:tc>
      </w:tr>
      <w:tr w14:paraId="13DEC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8509" w:type="dxa"/>
            <w:gridSpan w:val="7"/>
            <w:vAlign w:val="top"/>
          </w:tcPr>
          <w:p w14:paraId="6F7B782A">
            <w:pPr>
              <w:pStyle w:val="6"/>
              <w:spacing w:before="39" w:line="219" w:lineRule="auto"/>
              <w:ind w:left="85"/>
              <w:rPr>
                <w:sz w:val="22"/>
                <w:szCs w:val="22"/>
              </w:rPr>
            </w:pPr>
            <w:r>
              <w:rPr>
                <w:color w:val="203040"/>
                <w:sz w:val="22"/>
                <w:szCs w:val="22"/>
              </w:rPr>
              <w:t>注：NT代表农田；CDL代表穿越五当沟东</w:t>
            </w:r>
            <w:r>
              <w:rPr>
                <w:sz w:val="22"/>
                <w:szCs w:val="22"/>
              </w:rPr>
              <w:t>西走向的乡间道路，</w:t>
            </w:r>
            <w:r>
              <w:rPr>
                <w:color w:val="505060"/>
                <w:sz w:val="22"/>
                <w:szCs w:val="22"/>
              </w:rPr>
              <w:t>YDL</w:t>
            </w:r>
            <w:r>
              <w:rPr>
                <w:color w:val="505060"/>
                <w:spacing w:val="-1"/>
                <w:sz w:val="22"/>
                <w:szCs w:val="22"/>
              </w:rPr>
              <w:t>代表沿五当沟南</w:t>
            </w:r>
          </w:p>
          <w:p w14:paraId="692CC441">
            <w:pPr>
              <w:pStyle w:val="6"/>
              <w:spacing w:before="59" w:line="219" w:lineRule="auto"/>
              <w:ind w:left="95"/>
              <w:rPr>
                <w:sz w:val="22"/>
                <w:szCs w:val="22"/>
              </w:rPr>
            </w:pPr>
            <w:r>
              <w:rPr>
                <w:color w:val="405050"/>
                <w:spacing w:val="-1"/>
                <w:sz w:val="22"/>
                <w:szCs w:val="22"/>
              </w:rPr>
              <w:t>北走向的乡间道路，全部位于二级保护区。</w:t>
            </w:r>
          </w:p>
        </w:tc>
      </w:tr>
    </w:tbl>
    <w:p w14:paraId="39CCB3D2">
      <w:pPr>
        <w:spacing w:before="109" w:line="218" w:lineRule="auto"/>
        <w:ind w:left="65"/>
        <w:rPr>
          <w:rFonts w:ascii="宋体" w:hAnsi="宋体" w:eastAsia="宋体" w:cs="宋体"/>
          <w:sz w:val="23"/>
          <w:szCs w:val="23"/>
        </w:rPr>
      </w:pPr>
      <w:r>
        <w:rPr>
          <w:rFonts w:ascii="宋体" w:hAnsi="宋体" w:eastAsia="宋体" w:cs="宋体"/>
          <w:spacing w:val="7"/>
          <w:sz w:val="23"/>
          <w:szCs w:val="23"/>
        </w:rPr>
        <w:t>2.4.</w:t>
      </w:r>
      <w:r>
        <w:rPr>
          <w:rFonts w:ascii="宋体" w:hAnsi="宋体" w:eastAsia="宋体" w:cs="宋体"/>
          <w:b/>
          <w:bCs/>
          <w:spacing w:val="7"/>
          <w:sz w:val="23"/>
          <w:szCs w:val="23"/>
        </w:rPr>
        <w:t>2风险评估</w:t>
      </w:r>
    </w:p>
    <w:p w14:paraId="3D81D62D">
      <w:pPr>
        <w:spacing w:before="214" w:line="356" w:lineRule="auto"/>
        <w:ind w:left="65" w:right="104" w:firstLine="499"/>
        <w:jc w:val="both"/>
        <w:rPr>
          <w:rFonts w:ascii="宋体" w:hAnsi="宋体" w:eastAsia="宋体" w:cs="宋体"/>
          <w:sz w:val="24"/>
          <w:szCs w:val="24"/>
        </w:rPr>
      </w:pPr>
      <w:r>
        <w:rPr>
          <w:rFonts w:ascii="宋体" w:hAnsi="宋体" w:eastAsia="宋体" w:cs="宋体"/>
          <w:spacing w:val="-2"/>
          <w:sz w:val="24"/>
          <w:szCs w:val="24"/>
        </w:rPr>
        <w:t>包头市石拐区集中式饮用水水源地二级保护</w:t>
      </w:r>
      <w:r>
        <w:rPr>
          <w:rFonts w:ascii="宋体" w:hAnsi="宋体" w:eastAsia="宋体" w:cs="宋体"/>
          <w:spacing w:val="-3"/>
          <w:sz w:val="24"/>
          <w:szCs w:val="24"/>
        </w:rPr>
        <w:t>区内存在交通穿越问题，穿越包</w:t>
      </w:r>
      <w:r>
        <w:rPr>
          <w:rFonts w:ascii="宋体" w:hAnsi="宋体" w:eastAsia="宋体" w:cs="宋体"/>
          <w:sz w:val="24"/>
          <w:szCs w:val="24"/>
        </w:rPr>
        <w:t xml:space="preserve"> </w:t>
      </w:r>
      <w:r>
        <w:rPr>
          <w:rFonts w:ascii="宋体" w:hAnsi="宋体" w:eastAsia="宋体" w:cs="宋体"/>
          <w:spacing w:val="-3"/>
          <w:sz w:val="24"/>
          <w:szCs w:val="24"/>
        </w:rPr>
        <w:t>头市石拐区集中式饮用水水源保护区的道路中，沙明线公路为进出石拐区的重要</w:t>
      </w:r>
      <w:r>
        <w:rPr>
          <w:rFonts w:ascii="宋体" w:hAnsi="宋体" w:eastAsia="宋体" w:cs="宋体"/>
          <w:spacing w:val="16"/>
          <w:sz w:val="24"/>
          <w:szCs w:val="24"/>
        </w:rPr>
        <w:t xml:space="preserve"> </w:t>
      </w:r>
      <w:r>
        <w:rPr>
          <w:rFonts w:ascii="宋体" w:hAnsi="宋体" w:eastAsia="宋体" w:cs="宋体"/>
          <w:spacing w:val="-1"/>
          <w:sz w:val="24"/>
          <w:szCs w:val="24"/>
        </w:rPr>
        <w:t>道路，经水源地1#井上游约2.1</w:t>
      </w:r>
      <w:r>
        <w:rPr>
          <w:rFonts w:ascii="Times New Roman" w:hAnsi="Times New Roman" w:eastAsia="Times New Roman" w:cs="Times New Roman"/>
          <w:spacing w:val="-1"/>
          <w:sz w:val="24"/>
          <w:szCs w:val="24"/>
        </w:rPr>
        <w:t>km</w:t>
      </w:r>
      <w:r>
        <w:rPr>
          <w:rFonts w:ascii="宋体" w:hAnsi="宋体" w:eastAsia="宋体" w:cs="宋体"/>
          <w:spacing w:val="-1"/>
          <w:sz w:val="24"/>
          <w:szCs w:val="24"/>
        </w:rPr>
        <w:t>处通过五当沟，在石拐工业园区日常生产</w:t>
      </w:r>
      <w:r>
        <w:rPr>
          <w:rFonts w:ascii="宋体" w:hAnsi="宋体" w:eastAsia="宋体" w:cs="宋体"/>
          <w:spacing w:val="-2"/>
          <w:sz w:val="24"/>
          <w:szCs w:val="24"/>
        </w:rPr>
        <w:t>过程</w:t>
      </w:r>
      <w:r>
        <w:rPr>
          <w:rFonts w:ascii="宋体" w:hAnsi="宋体" w:eastAsia="宋体" w:cs="宋体"/>
          <w:sz w:val="24"/>
          <w:szCs w:val="24"/>
        </w:rPr>
        <w:t xml:space="preserve"> </w:t>
      </w:r>
      <w:r>
        <w:rPr>
          <w:rFonts w:ascii="宋体" w:hAnsi="宋体" w:eastAsia="宋体" w:cs="宋体"/>
          <w:spacing w:val="-5"/>
          <w:sz w:val="24"/>
          <w:szCs w:val="24"/>
        </w:rPr>
        <w:t>中，汽、柴油类物质消耗量最大，拉运汽、柴油的车辆进出石拐区频繁。 目前，</w:t>
      </w:r>
      <w:r>
        <w:rPr>
          <w:rFonts w:ascii="宋体" w:hAnsi="宋体" w:eastAsia="宋体" w:cs="宋体"/>
          <w:spacing w:val="8"/>
          <w:sz w:val="24"/>
          <w:szCs w:val="24"/>
        </w:rPr>
        <w:t xml:space="preserve"> </w:t>
      </w:r>
      <w:r>
        <w:rPr>
          <w:rFonts w:ascii="宋体" w:hAnsi="宋体" w:eastAsia="宋体" w:cs="宋体"/>
          <w:spacing w:val="-3"/>
          <w:sz w:val="24"/>
          <w:szCs w:val="24"/>
        </w:rPr>
        <w:t>石拐区各加油站的汽、柴油部分通过沙明线运输至石拐区，再由石拐区公路运输</w:t>
      </w:r>
      <w:r>
        <w:rPr>
          <w:rFonts w:ascii="宋体" w:hAnsi="宋体" w:eastAsia="宋体" w:cs="宋体"/>
          <w:spacing w:val="13"/>
          <w:sz w:val="24"/>
          <w:szCs w:val="24"/>
        </w:rPr>
        <w:t xml:space="preserve"> </w:t>
      </w:r>
      <w:r>
        <w:rPr>
          <w:rFonts w:ascii="宋体" w:hAnsi="宋体" w:eastAsia="宋体" w:cs="宋体"/>
          <w:spacing w:val="-2"/>
          <w:sz w:val="24"/>
          <w:szCs w:val="24"/>
        </w:rPr>
        <w:t>网络输送至各加油站进行售卖。</w:t>
      </w:r>
    </w:p>
    <w:p w14:paraId="7180A9DA">
      <w:pPr>
        <w:spacing w:before="10" w:line="357" w:lineRule="auto"/>
        <w:ind w:left="65" w:right="34" w:firstLine="499"/>
        <w:rPr>
          <w:rFonts w:ascii="宋体" w:hAnsi="宋体" w:eastAsia="宋体" w:cs="宋体"/>
          <w:sz w:val="24"/>
          <w:szCs w:val="24"/>
        </w:rPr>
      </w:pPr>
      <w:r>
        <w:rPr>
          <w:rFonts w:ascii="宋体" w:hAnsi="宋体" w:eastAsia="宋体" w:cs="宋体"/>
          <w:spacing w:val="-3"/>
          <w:sz w:val="24"/>
          <w:szCs w:val="24"/>
        </w:rPr>
        <w:t>因此，油类物质在水源地二级保护区</w:t>
      </w:r>
      <w:r>
        <w:rPr>
          <w:rFonts w:ascii="宋体" w:hAnsi="宋体" w:eastAsia="宋体" w:cs="宋体"/>
          <w:color w:val="506070"/>
          <w:spacing w:val="-3"/>
          <w:sz w:val="24"/>
          <w:szCs w:val="24"/>
        </w:rPr>
        <w:t>沙明线穿越段易发生泄漏事件。</w:t>
      </w:r>
      <w:r>
        <w:rPr>
          <w:rFonts w:ascii="宋体" w:hAnsi="宋体" w:eastAsia="宋体" w:cs="宋体"/>
          <w:spacing w:val="-3"/>
          <w:sz w:val="24"/>
          <w:szCs w:val="24"/>
        </w:rPr>
        <w:t>运输过</w:t>
      </w:r>
      <w:r>
        <w:rPr>
          <w:rFonts w:ascii="宋体" w:hAnsi="宋体" w:eastAsia="宋体" w:cs="宋体"/>
          <w:spacing w:val="17"/>
          <w:sz w:val="24"/>
          <w:szCs w:val="24"/>
        </w:rPr>
        <w:t xml:space="preserve"> </w:t>
      </w:r>
      <w:r>
        <w:rPr>
          <w:rFonts w:ascii="宋体" w:hAnsi="宋体" w:eastAsia="宋体" w:cs="宋体"/>
          <w:sz w:val="24"/>
          <w:szCs w:val="24"/>
        </w:rPr>
        <w:t>程中发生泄漏是威胁包头市石拐区集中式饮用水水源地出现概率较高的事故之</w:t>
      </w:r>
      <w:r>
        <w:rPr>
          <w:rFonts w:ascii="宋体" w:hAnsi="宋体" w:eastAsia="宋体" w:cs="宋体"/>
          <w:spacing w:val="6"/>
          <w:sz w:val="24"/>
          <w:szCs w:val="24"/>
        </w:rPr>
        <w:t xml:space="preserve">   </w:t>
      </w:r>
      <w:r>
        <w:rPr>
          <w:rFonts w:ascii="宋体" w:hAnsi="宋体" w:eastAsia="宋体" w:cs="宋体"/>
          <w:spacing w:val="-3"/>
          <w:sz w:val="24"/>
          <w:szCs w:val="24"/>
        </w:rPr>
        <w:t>一。其后果将主要表现在可能产生火灾、爆炸对环境造成重大污染。油类物质泄</w:t>
      </w:r>
      <w:r>
        <w:rPr>
          <w:rFonts w:ascii="宋体" w:hAnsi="宋体" w:eastAsia="宋体" w:cs="宋体"/>
          <w:spacing w:val="1"/>
          <w:sz w:val="24"/>
          <w:szCs w:val="24"/>
        </w:rPr>
        <w:t xml:space="preserve">  </w:t>
      </w:r>
      <w:r>
        <w:rPr>
          <w:rFonts w:ascii="宋体" w:hAnsi="宋体" w:eastAsia="宋体" w:cs="宋体"/>
          <w:spacing w:val="-6"/>
          <w:sz w:val="24"/>
          <w:szCs w:val="24"/>
        </w:rPr>
        <w:t>露对环境的影响主要取决于油品类型和数量、溢油的区域、环境特征情</w:t>
      </w:r>
      <w:r>
        <w:rPr>
          <w:rFonts w:ascii="宋体" w:hAnsi="宋体" w:eastAsia="宋体" w:cs="宋体"/>
          <w:spacing w:val="-7"/>
          <w:sz w:val="24"/>
          <w:szCs w:val="24"/>
        </w:rPr>
        <w:t>况、气象、</w:t>
      </w:r>
      <w:r>
        <w:rPr>
          <w:rFonts w:ascii="宋体" w:hAnsi="宋体" w:eastAsia="宋体" w:cs="宋体"/>
          <w:sz w:val="24"/>
          <w:szCs w:val="24"/>
        </w:rPr>
        <w:t xml:space="preserve"> </w:t>
      </w:r>
      <w:r>
        <w:rPr>
          <w:rFonts w:ascii="宋体" w:hAnsi="宋体" w:eastAsia="宋体" w:cs="宋体"/>
          <w:spacing w:val="-1"/>
          <w:sz w:val="24"/>
          <w:szCs w:val="24"/>
        </w:rPr>
        <w:t>水文情况等。油类物质泄露对饮用水水源地污染是非常严重的。</w:t>
      </w:r>
    </w:p>
    <w:p w14:paraId="6FF34FFD">
      <w:pPr>
        <w:spacing w:before="42" w:line="219" w:lineRule="auto"/>
        <w:ind w:left="565"/>
        <w:rPr>
          <w:rFonts w:ascii="宋体" w:hAnsi="宋体" w:eastAsia="宋体" w:cs="宋体"/>
          <w:sz w:val="24"/>
          <w:szCs w:val="24"/>
        </w:rPr>
      </w:pPr>
      <w:r>
        <w:rPr>
          <w:rFonts w:ascii="宋体" w:hAnsi="宋体" w:eastAsia="宋体" w:cs="宋体"/>
          <w:spacing w:val="-3"/>
          <w:sz w:val="24"/>
          <w:szCs w:val="24"/>
        </w:rPr>
        <w:t>当油类运输车辆发生侧翻或其他事故，导致发生溢油事故</w:t>
      </w:r>
      <w:r>
        <w:rPr>
          <w:rFonts w:ascii="宋体" w:hAnsi="宋体" w:eastAsia="宋体" w:cs="宋体"/>
          <w:spacing w:val="-4"/>
          <w:sz w:val="24"/>
          <w:szCs w:val="24"/>
        </w:rPr>
        <w:t>时，油类物质沿道</w:t>
      </w:r>
    </w:p>
    <w:p w14:paraId="237FCEB1">
      <w:pPr>
        <w:spacing w:line="219" w:lineRule="auto"/>
        <w:rPr>
          <w:rFonts w:ascii="宋体" w:hAnsi="宋体" w:eastAsia="宋体" w:cs="宋体"/>
          <w:sz w:val="24"/>
          <w:szCs w:val="24"/>
        </w:rPr>
        <w:sectPr>
          <w:footerReference r:id="rId53" w:type="default"/>
          <w:pgSz w:w="11910" w:h="16850"/>
          <w:pgMar w:top="1432" w:right="1745" w:bottom="1385" w:left="1645" w:header="0" w:footer="1223" w:gutter="0"/>
          <w:cols w:space="720" w:num="1"/>
        </w:sectPr>
      </w:pPr>
    </w:p>
    <w:p w14:paraId="671F906A">
      <w:pPr>
        <w:spacing w:before="47" w:line="366" w:lineRule="auto"/>
        <w:ind w:right="106"/>
        <w:rPr>
          <w:rFonts w:ascii="宋体" w:hAnsi="宋体" w:eastAsia="宋体" w:cs="宋体"/>
          <w:sz w:val="24"/>
          <w:szCs w:val="24"/>
        </w:rPr>
      </w:pPr>
      <w:r>
        <w:rPr>
          <w:rFonts w:ascii="宋体" w:hAnsi="宋体" w:eastAsia="宋体" w:cs="宋体"/>
          <w:spacing w:val="5"/>
          <w:sz w:val="24"/>
          <w:szCs w:val="24"/>
        </w:rPr>
        <w:t>顷，粮食作物播种面积2605 公顷。粮食产量6090</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、油料产量95</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年末</w:t>
      </w:r>
      <w:r>
        <w:rPr>
          <w:rFonts w:ascii="宋体" w:hAnsi="宋体" w:eastAsia="宋体" w:cs="宋体"/>
          <w:sz w:val="24"/>
          <w:szCs w:val="24"/>
        </w:rPr>
        <w:t xml:space="preserve"> </w:t>
      </w:r>
      <w:r>
        <w:rPr>
          <w:rFonts w:ascii="宋体" w:hAnsi="宋体" w:eastAsia="宋体" w:cs="宋体"/>
          <w:spacing w:val="11"/>
          <w:sz w:val="24"/>
          <w:szCs w:val="24"/>
        </w:rPr>
        <w:t>牲畜存栏头数3.28万头只。</w:t>
      </w:r>
    </w:p>
    <w:p w14:paraId="2F684A2E">
      <w:pPr>
        <w:spacing w:line="219" w:lineRule="auto"/>
        <w:ind w:left="609"/>
        <w:rPr>
          <w:rFonts w:ascii="宋体" w:hAnsi="宋体" w:eastAsia="宋体" w:cs="宋体"/>
          <w:sz w:val="24"/>
          <w:szCs w:val="24"/>
        </w:rPr>
      </w:pPr>
      <w:r>
        <w:rPr>
          <w:rFonts w:ascii="宋体" w:hAnsi="宋体" w:eastAsia="宋体" w:cs="宋体"/>
          <w:spacing w:val="14"/>
          <w:sz w:val="24"/>
          <w:szCs w:val="24"/>
        </w:rPr>
        <w:t>(6)道路交通状况</w:t>
      </w:r>
    </w:p>
    <w:p w14:paraId="5F494F4A">
      <w:pPr>
        <w:spacing w:before="175" w:line="359" w:lineRule="auto"/>
        <w:ind w:right="102" w:firstLine="469"/>
        <w:rPr>
          <w:rFonts w:ascii="宋体" w:hAnsi="宋体" w:eastAsia="宋体" w:cs="宋体"/>
          <w:sz w:val="24"/>
          <w:szCs w:val="24"/>
        </w:rPr>
      </w:pPr>
      <w:r>
        <w:rPr>
          <w:rFonts w:ascii="宋体" w:hAnsi="宋体" w:eastAsia="宋体" w:cs="宋体"/>
          <w:spacing w:val="3"/>
          <w:sz w:val="24"/>
          <w:szCs w:val="24"/>
        </w:rPr>
        <w:t>石拐区交通便捷，石拐区紧邻110 国道、210 国道和京藏</w:t>
      </w:r>
      <w:r>
        <w:rPr>
          <w:rFonts w:ascii="宋体" w:hAnsi="宋体" w:eastAsia="宋体" w:cs="宋体"/>
          <w:spacing w:val="2"/>
          <w:sz w:val="24"/>
          <w:szCs w:val="24"/>
        </w:rPr>
        <w:t>高速公路，境内</w:t>
      </w:r>
      <w:r>
        <w:rPr>
          <w:rFonts w:ascii="宋体" w:hAnsi="宋体" w:eastAsia="宋体" w:cs="宋体"/>
          <w:sz w:val="24"/>
          <w:szCs w:val="24"/>
        </w:rPr>
        <w:t xml:space="preserve"> </w:t>
      </w:r>
      <w:r>
        <w:rPr>
          <w:rFonts w:ascii="宋体" w:hAnsi="宋体" w:eastAsia="宋体" w:cs="宋体"/>
          <w:spacing w:val="-2"/>
          <w:sz w:val="24"/>
          <w:szCs w:val="24"/>
        </w:rPr>
        <w:t>有包石公路贯通。从水源地周边来看，沿五当沟西岸建设了沙明线，是</w:t>
      </w:r>
      <w:r>
        <w:rPr>
          <w:rFonts w:ascii="宋体" w:hAnsi="宋体" w:eastAsia="宋体" w:cs="宋体"/>
          <w:spacing w:val="-3"/>
          <w:sz w:val="24"/>
          <w:szCs w:val="24"/>
        </w:rPr>
        <w:t>连接石拐</w:t>
      </w:r>
      <w:r>
        <w:rPr>
          <w:rFonts w:ascii="宋体" w:hAnsi="宋体" w:eastAsia="宋体" w:cs="宋体"/>
          <w:sz w:val="24"/>
          <w:szCs w:val="24"/>
        </w:rPr>
        <w:t xml:space="preserve"> </w:t>
      </w:r>
      <w:r>
        <w:rPr>
          <w:rFonts w:ascii="宋体" w:hAnsi="宋体" w:eastAsia="宋体" w:cs="宋体"/>
          <w:spacing w:val="-6"/>
          <w:sz w:val="24"/>
          <w:szCs w:val="24"/>
        </w:rPr>
        <w:t>至固阳的道路。</w:t>
      </w:r>
    </w:p>
    <w:p w14:paraId="3EE3FF37">
      <w:pPr>
        <w:spacing w:before="20" w:line="219" w:lineRule="auto"/>
        <w:ind w:left="599"/>
        <w:rPr>
          <w:rFonts w:ascii="宋体" w:hAnsi="宋体" w:eastAsia="宋体" w:cs="宋体"/>
          <w:sz w:val="24"/>
          <w:szCs w:val="24"/>
        </w:rPr>
      </w:pPr>
      <w:r>
        <w:rPr>
          <w:rFonts w:ascii="宋体" w:hAnsi="宋体" w:eastAsia="宋体" w:cs="宋体"/>
          <w:sz w:val="24"/>
          <w:szCs w:val="24"/>
        </w:rPr>
        <w:t>(7) 饮用水源地周边城乡土地使用状况</w:t>
      </w:r>
    </w:p>
    <w:p w14:paraId="3656392E">
      <w:pPr>
        <w:spacing w:before="183" w:line="364" w:lineRule="auto"/>
        <w:ind w:firstLine="469"/>
        <w:rPr>
          <w:rFonts w:ascii="宋体" w:hAnsi="宋体" w:eastAsia="宋体" w:cs="宋体"/>
          <w:sz w:val="24"/>
          <w:szCs w:val="24"/>
        </w:rPr>
      </w:pPr>
      <w:r>
        <w:rPr>
          <w:rFonts w:ascii="宋体" w:hAnsi="宋体" w:eastAsia="宋体" w:cs="宋体"/>
          <w:spacing w:val="-2"/>
          <w:sz w:val="24"/>
          <w:szCs w:val="24"/>
        </w:rPr>
        <w:t>石拐水源地及周边土地利用类型有天然牧草地、林地、农田、河流滩涂</w:t>
      </w:r>
      <w:r>
        <w:rPr>
          <w:rFonts w:ascii="宋体" w:hAnsi="宋体" w:eastAsia="宋体" w:cs="宋体"/>
          <w:spacing w:val="-3"/>
          <w:sz w:val="24"/>
          <w:szCs w:val="24"/>
        </w:rPr>
        <w:t>、居</w:t>
      </w:r>
      <w:r>
        <w:rPr>
          <w:rFonts w:ascii="宋体" w:hAnsi="宋体" w:eastAsia="宋体" w:cs="宋体"/>
          <w:sz w:val="24"/>
          <w:szCs w:val="24"/>
        </w:rPr>
        <w:t xml:space="preserve">  </w:t>
      </w:r>
      <w:r>
        <w:rPr>
          <w:rFonts w:ascii="宋体" w:hAnsi="宋体" w:eastAsia="宋体" w:cs="宋体"/>
          <w:spacing w:val="-2"/>
          <w:sz w:val="24"/>
          <w:szCs w:val="24"/>
        </w:rPr>
        <w:t>住用地、工矿用地、灌木林地等，其中以天然牧草地为主</w:t>
      </w:r>
      <w:r>
        <w:rPr>
          <w:rFonts w:ascii="宋体" w:hAnsi="宋体" w:eastAsia="宋体" w:cs="宋体"/>
          <w:spacing w:val="-3"/>
          <w:sz w:val="24"/>
          <w:szCs w:val="24"/>
        </w:rPr>
        <w:t>，面积为5581.85公顷。</w:t>
      </w:r>
    </w:p>
    <w:p w14:paraId="2263FC89">
      <w:pPr>
        <w:spacing w:before="42" w:line="219" w:lineRule="auto"/>
        <w:ind w:left="4"/>
        <w:rPr>
          <w:rFonts w:ascii="宋体" w:hAnsi="宋体" w:eastAsia="宋体" w:cs="宋体"/>
          <w:sz w:val="28"/>
          <w:szCs w:val="28"/>
        </w:rPr>
      </w:pPr>
      <w:r>
        <w:rPr>
          <w:rFonts w:ascii="宋体" w:hAnsi="宋体" w:eastAsia="宋体" w:cs="宋体"/>
          <w:b/>
          <w:bCs/>
          <w:spacing w:val="5"/>
          <w:sz w:val="28"/>
          <w:szCs w:val="28"/>
        </w:rPr>
        <w:t>2.2水环境质量状况</w:t>
      </w:r>
    </w:p>
    <w:p w14:paraId="179C536A">
      <w:pPr>
        <w:spacing w:before="239" w:line="358" w:lineRule="auto"/>
        <w:ind w:right="125" w:firstLine="469"/>
        <w:rPr>
          <w:rFonts w:ascii="宋体" w:hAnsi="宋体" w:eastAsia="宋体" w:cs="宋体"/>
          <w:sz w:val="24"/>
          <w:szCs w:val="24"/>
        </w:rPr>
      </w:pPr>
      <w:r>
        <w:rPr>
          <w:rFonts w:ascii="宋体" w:hAnsi="宋体" w:eastAsia="宋体" w:cs="宋体"/>
          <w:spacing w:val="1"/>
          <w:sz w:val="24"/>
          <w:szCs w:val="24"/>
        </w:rPr>
        <w:t>根据包头市环境监测站2015年-2018年对1#缸房地水源井常规指</w:t>
      </w:r>
      <w:r>
        <w:rPr>
          <w:rFonts w:ascii="宋体" w:hAnsi="宋体" w:eastAsia="宋体" w:cs="宋体"/>
          <w:sz w:val="24"/>
          <w:szCs w:val="24"/>
        </w:rPr>
        <w:t>标，和2018 年包头环境监测站对该水源地非常规指标监测数据，1#缸房地水源井2015 至</w:t>
      </w:r>
    </w:p>
    <w:p w14:paraId="00335CBB">
      <w:pPr>
        <w:spacing w:line="219" w:lineRule="auto"/>
        <w:rPr>
          <w:rFonts w:ascii="宋体" w:hAnsi="宋体" w:eastAsia="宋体" w:cs="宋体"/>
          <w:sz w:val="24"/>
          <w:szCs w:val="24"/>
        </w:rPr>
      </w:pPr>
      <w:r>
        <w:rPr>
          <w:rFonts w:ascii="Times New Roman" w:hAnsi="Times New Roman" w:eastAsia="Times New Roman" w:cs="Times New Roman"/>
          <w:spacing w:val="2"/>
          <w:sz w:val="24"/>
          <w:szCs w:val="24"/>
        </w:rPr>
        <w:t>2018</w:t>
      </w:r>
      <w:r>
        <w:rPr>
          <w:rFonts w:ascii="Times New Roman" w:hAnsi="Times New Roman" w:eastAsia="Times New Roman" w:cs="Times New Roman"/>
          <w:spacing w:val="55"/>
          <w:sz w:val="24"/>
          <w:szCs w:val="24"/>
        </w:rPr>
        <w:t xml:space="preserve"> </w:t>
      </w:r>
      <w:r>
        <w:rPr>
          <w:rFonts w:ascii="宋体" w:hAnsi="宋体" w:eastAsia="宋体" w:cs="宋体"/>
          <w:spacing w:val="2"/>
          <w:sz w:val="24"/>
          <w:szCs w:val="24"/>
        </w:rPr>
        <w:t>年水质情况稳定，除2015、2018年</w:t>
      </w:r>
      <w:r>
        <w:rPr>
          <w:rFonts w:ascii="宋体" w:hAnsi="宋体" w:eastAsia="宋体" w:cs="宋体"/>
          <w:spacing w:val="1"/>
          <w:sz w:val="24"/>
          <w:szCs w:val="24"/>
        </w:rPr>
        <w:t>度总硬度超标，其余监测项目符合《地</w:t>
      </w:r>
    </w:p>
    <w:p w14:paraId="4AE9FE51">
      <w:pPr>
        <w:spacing w:before="148" w:line="212" w:lineRule="auto"/>
        <w:rPr>
          <w:rFonts w:ascii="宋体" w:hAnsi="宋体" w:eastAsia="宋体" w:cs="宋体"/>
          <w:sz w:val="24"/>
          <w:szCs w:val="24"/>
        </w:rPr>
      </w:pPr>
      <w:r>
        <w:rPr>
          <w:rFonts w:ascii="宋体" w:hAnsi="宋体" w:eastAsia="宋体" w:cs="宋体"/>
          <w:color w:val="306050"/>
          <w:spacing w:val="-3"/>
          <w:sz w:val="24"/>
          <w:szCs w:val="24"/>
        </w:rPr>
        <w:t>下水质量标准》 (</w:t>
      </w:r>
      <w:r>
        <w:rPr>
          <w:rFonts w:ascii="宋体" w:hAnsi="宋体" w:eastAsia="宋体" w:cs="宋体"/>
          <w:color w:val="306050"/>
          <w:spacing w:val="-55"/>
          <w:sz w:val="24"/>
          <w:szCs w:val="24"/>
        </w:rPr>
        <w:t xml:space="preserve"> </w:t>
      </w:r>
      <w:r>
        <w:rPr>
          <w:rFonts w:ascii="Times New Roman" w:hAnsi="Times New Roman" w:eastAsia="Times New Roman" w:cs="Times New Roman"/>
          <w:color w:val="306050"/>
          <w:spacing w:val="-3"/>
          <w:sz w:val="24"/>
          <w:szCs w:val="24"/>
        </w:rPr>
        <w:t>GB/T    14848—2017)Ⅲ</w:t>
      </w:r>
      <w:r>
        <w:rPr>
          <w:rFonts w:ascii="宋体" w:hAnsi="宋体" w:eastAsia="宋体" w:cs="宋体"/>
          <w:color w:val="306050"/>
          <w:spacing w:val="-3"/>
          <w:sz w:val="24"/>
          <w:szCs w:val="24"/>
        </w:rPr>
        <w:t>类标准。</w:t>
      </w:r>
    </w:p>
    <w:p w14:paraId="5C1B129F">
      <w:pPr>
        <w:spacing w:before="230" w:line="359" w:lineRule="auto"/>
        <w:ind w:right="112" w:firstLine="469"/>
        <w:jc w:val="both"/>
        <w:rPr>
          <w:rFonts w:ascii="宋体" w:hAnsi="宋体" w:eastAsia="宋体" w:cs="宋体"/>
          <w:sz w:val="24"/>
          <w:szCs w:val="24"/>
        </w:rPr>
      </w:pPr>
      <w:r>
        <w:rPr>
          <w:rFonts w:ascii="宋体" w:hAnsi="宋体" w:eastAsia="宋体" w:cs="宋体"/>
          <w:spacing w:val="5"/>
          <w:sz w:val="24"/>
          <w:szCs w:val="24"/>
        </w:rPr>
        <w:t>同时根据五当沟立甲子断面2008年、2018</w:t>
      </w:r>
      <w:r>
        <w:rPr>
          <w:rFonts w:ascii="宋体" w:hAnsi="宋体" w:eastAsia="宋体" w:cs="宋体"/>
          <w:spacing w:val="4"/>
          <w:sz w:val="24"/>
          <w:szCs w:val="24"/>
        </w:rPr>
        <w:t>年监测数据可得出，五当沟水质</w:t>
      </w:r>
      <w:r>
        <w:rPr>
          <w:rFonts w:ascii="宋体" w:hAnsi="宋体" w:eastAsia="宋体" w:cs="宋体"/>
          <w:sz w:val="24"/>
          <w:szCs w:val="24"/>
        </w:rPr>
        <w:t xml:space="preserve"> </w:t>
      </w:r>
      <w:r>
        <w:rPr>
          <w:rFonts w:ascii="宋体" w:hAnsi="宋体" w:eastAsia="宋体" w:cs="宋体"/>
          <w:spacing w:val="-1"/>
          <w:sz w:val="24"/>
          <w:szCs w:val="24"/>
        </w:rPr>
        <w:t xml:space="preserve">近十年较稳定，监测项目全部符合《地表水环境质量标准》 </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3838—2002)</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5"/>
          <w:sz w:val="24"/>
          <w:szCs w:val="24"/>
        </w:rPr>
        <w:t>IV</w:t>
      </w:r>
      <w:r>
        <w:rPr>
          <w:rFonts w:ascii="宋体" w:hAnsi="宋体" w:eastAsia="宋体" w:cs="宋体"/>
          <w:spacing w:val="-5"/>
          <w:sz w:val="24"/>
          <w:szCs w:val="24"/>
        </w:rPr>
        <w:t>类标准。</w:t>
      </w:r>
    </w:p>
    <w:p w14:paraId="42E7B42B">
      <w:pPr>
        <w:spacing w:before="57" w:line="218" w:lineRule="auto"/>
        <w:ind w:left="4"/>
        <w:rPr>
          <w:rFonts w:ascii="宋体" w:hAnsi="宋体" w:eastAsia="宋体" w:cs="宋体"/>
          <w:sz w:val="28"/>
          <w:szCs w:val="28"/>
        </w:rPr>
      </w:pPr>
      <w:r>
        <w:rPr>
          <w:rFonts w:ascii="宋体" w:hAnsi="宋体" w:eastAsia="宋体" w:cs="宋体"/>
          <w:b/>
          <w:bCs/>
          <w:spacing w:val="5"/>
          <w:sz w:val="28"/>
          <w:szCs w:val="28"/>
        </w:rPr>
        <w:t>2.3固定源调查与风险评估</w:t>
      </w:r>
    </w:p>
    <w:p w14:paraId="3F18F309">
      <w:pPr>
        <w:spacing w:before="253" w:line="364" w:lineRule="auto"/>
        <w:ind w:right="20" w:firstLine="469"/>
        <w:rPr>
          <w:rFonts w:ascii="宋体" w:hAnsi="宋体" w:eastAsia="宋体" w:cs="宋体"/>
          <w:sz w:val="24"/>
          <w:szCs w:val="24"/>
        </w:rPr>
      </w:pPr>
      <w:r>
        <w:rPr>
          <w:rFonts w:ascii="宋体" w:hAnsi="宋体" w:eastAsia="宋体" w:cs="宋体"/>
          <w:spacing w:val="-7"/>
          <w:sz w:val="24"/>
          <w:szCs w:val="24"/>
        </w:rPr>
        <w:t>根据调查，包头市石拐区集中式饮用水水源地一、二级保护区范围内无制药、</w:t>
      </w:r>
      <w:r>
        <w:rPr>
          <w:rFonts w:ascii="宋体" w:hAnsi="宋体" w:eastAsia="宋体" w:cs="宋体"/>
          <w:spacing w:val="17"/>
          <w:sz w:val="24"/>
          <w:szCs w:val="24"/>
        </w:rPr>
        <w:t xml:space="preserve"> </w:t>
      </w:r>
      <w:r>
        <w:rPr>
          <w:rFonts w:ascii="宋体" w:hAnsi="宋体" w:eastAsia="宋体" w:cs="宋体"/>
          <w:sz w:val="24"/>
          <w:szCs w:val="24"/>
        </w:rPr>
        <w:t>化工、造纸、冶炼等重污染行业和其他对饮用水水源可能造成污染的行</w:t>
      </w:r>
      <w:r>
        <w:rPr>
          <w:rFonts w:ascii="宋体" w:hAnsi="宋体" w:eastAsia="宋体" w:cs="宋体"/>
          <w:spacing w:val="-1"/>
          <w:sz w:val="24"/>
          <w:szCs w:val="24"/>
        </w:rPr>
        <w:t>业。</w:t>
      </w:r>
    </w:p>
    <w:p w14:paraId="7B1A0FD8">
      <w:pPr>
        <w:spacing w:before="30" w:line="218" w:lineRule="auto"/>
        <w:ind w:left="4"/>
        <w:rPr>
          <w:rFonts w:ascii="宋体" w:hAnsi="宋体" w:eastAsia="宋体" w:cs="宋体"/>
          <w:sz w:val="28"/>
          <w:szCs w:val="28"/>
        </w:rPr>
      </w:pPr>
      <w:r>
        <w:rPr>
          <w:rFonts w:ascii="宋体" w:hAnsi="宋体" w:eastAsia="宋体" w:cs="宋体"/>
          <w:b/>
          <w:bCs/>
          <w:spacing w:val="5"/>
          <w:sz w:val="28"/>
          <w:szCs w:val="28"/>
        </w:rPr>
        <w:t>2.4流动源调查与风险评估</w:t>
      </w:r>
    </w:p>
    <w:p w14:paraId="6CC7E655">
      <w:pPr>
        <w:spacing w:before="251" w:line="219" w:lineRule="auto"/>
        <w:ind w:left="3"/>
        <w:rPr>
          <w:rFonts w:ascii="宋体" w:hAnsi="宋体" w:eastAsia="宋体" w:cs="宋体"/>
          <w:sz w:val="24"/>
          <w:szCs w:val="24"/>
        </w:rPr>
      </w:pPr>
      <w:r>
        <w:rPr>
          <w:rFonts w:ascii="宋体" w:hAnsi="宋体" w:eastAsia="宋体" w:cs="宋体"/>
          <w:b/>
          <w:bCs/>
          <w:spacing w:val="1"/>
          <w:sz w:val="24"/>
          <w:szCs w:val="24"/>
        </w:rPr>
        <w:t>2.4.1调查内容</w:t>
      </w:r>
    </w:p>
    <w:p w14:paraId="0A56528D">
      <w:pPr>
        <w:spacing w:before="186" w:line="357" w:lineRule="auto"/>
        <w:ind w:right="101" w:firstLine="469"/>
        <w:jc w:val="both"/>
        <w:rPr>
          <w:rFonts w:ascii="宋体" w:hAnsi="宋体" w:eastAsia="宋体" w:cs="宋体"/>
          <w:sz w:val="24"/>
          <w:szCs w:val="24"/>
        </w:rPr>
      </w:pPr>
      <w:r>
        <w:rPr>
          <w:rFonts w:ascii="宋体" w:hAnsi="宋体" w:eastAsia="宋体" w:cs="宋体"/>
          <w:spacing w:val="2"/>
          <w:sz w:val="24"/>
          <w:szCs w:val="24"/>
        </w:rPr>
        <w:t>根据《包头市石拐区集中式饮用水水源保护</w:t>
      </w:r>
      <w:r>
        <w:rPr>
          <w:rFonts w:ascii="宋体" w:hAnsi="宋体" w:eastAsia="宋体" w:cs="宋体"/>
          <w:spacing w:val="1"/>
          <w:sz w:val="24"/>
          <w:szCs w:val="24"/>
        </w:rPr>
        <w:t>区调整技术报告》,本水源地一</w:t>
      </w:r>
      <w:r>
        <w:rPr>
          <w:rFonts w:ascii="宋体" w:hAnsi="宋体" w:eastAsia="宋体" w:cs="宋体"/>
          <w:sz w:val="24"/>
          <w:szCs w:val="24"/>
        </w:rPr>
        <w:t xml:space="preserve"> </w:t>
      </w:r>
      <w:r>
        <w:rPr>
          <w:rFonts w:ascii="宋体" w:hAnsi="宋体" w:eastAsia="宋体" w:cs="宋体"/>
          <w:spacing w:val="-2"/>
          <w:sz w:val="24"/>
          <w:szCs w:val="24"/>
        </w:rPr>
        <w:t>级保护区内存在农田和乡村连接道路；二级保护区内存在县级及以上公路</w:t>
      </w:r>
      <w:r>
        <w:rPr>
          <w:rFonts w:ascii="宋体" w:hAnsi="宋体" w:eastAsia="宋体" w:cs="宋体"/>
          <w:spacing w:val="-3"/>
          <w:sz w:val="24"/>
          <w:szCs w:val="24"/>
        </w:rPr>
        <w:t>交通穿</w:t>
      </w:r>
      <w:r>
        <w:rPr>
          <w:rFonts w:ascii="宋体" w:hAnsi="宋体" w:eastAsia="宋体" w:cs="宋体"/>
          <w:sz w:val="24"/>
          <w:szCs w:val="24"/>
        </w:rPr>
        <w:t xml:space="preserve"> </w:t>
      </w:r>
      <w:r>
        <w:rPr>
          <w:rFonts w:ascii="宋体" w:hAnsi="宋体" w:eastAsia="宋体" w:cs="宋体"/>
          <w:spacing w:val="-1"/>
          <w:sz w:val="24"/>
          <w:szCs w:val="24"/>
        </w:rPr>
        <w:t>越问题，沙明线经水源地1#井上游约2.1</w:t>
      </w:r>
      <w:r>
        <w:rPr>
          <w:rFonts w:ascii="Times New Roman" w:hAnsi="Times New Roman" w:eastAsia="Times New Roman" w:cs="Times New Roman"/>
          <w:spacing w:val="-1"/>
          <w:sz w:val="24"/>
          <w:szCs w:val="24"/>
        </w:rPr>
        <w:t>km</w:t>
      </w:r>
      <w:r>
        <w:rPr>
          <w:rFonts w:ascii="宋体" w:hAnsi="宋体" w:eastAsia="宋体" w:cs="宋体"/>
          <w:spacing w:val="-1"/>
          <w:sz w:val="24"/>
          <w:szCs w:val="24"/>
        </w:rPr>
        <w:t>处通过五当沟，缸房地村与沙明线的</w:t>
      </w:r>
      <w:r>
        <w:rPr>
          <w:rFonts w:ascii="宋体" w:hAnsi="宋体" w:eastAsia="宋体" w:cs="宋体"/>
          <w:spacing w:val="18"/>
          <w:sz w:val="24"/>
          <w:szCs w:val="24"/>
        </w:rPr>
        <w:t xml:space="preserve"> </w:t>
      </w:r>
      <w:r>
        <w:rPr>
          <w:rFonts w:ascii="宋体" w:hAnsi="宋体" w:eastAsia="宋体" w:cs="宋体"/>
          <w:spacing w:val="-2"/>
          <w:sz w:val="24"/>
          <w:szCs w:val="24"/>
        </w:rPr>
        <w:t>连接道路延伸至二级保护区，此外，</w:t>
      </w:r>
      <w:r>
        <w:rPr>
          <w:rFonts w:ascii="宋体" w:hAnsi="宋体" w:eastAsia="宋体" w:cs="宋体"/>
          <w:color w:val="607070"/>
          <w:spacing w:val="-2"/>
          <w:sz w:val="24"/>
          <w:szCs w:val="24"/>
        </w:rPr>
        <w:t>缸房地村和腮大坝村的连接道路沿五</w:t>
      </w:r>
      <w:r>
        <w:rPr>
          <w:rFonts w:ascii="宋体" w:hAnsi="宋体" w:eastAsia="宋体" w:cs="宋体"/>
          <w:color w:val="607070"/>
          <w:spacing w:val="-3"/>
          <w:sz w:val="24"/>
          <w:szCs w:val="24"/>
        </w:rPr>
        <w:t>当沟西</w:t>
      </w:r>
      <w:r>
        <w:rPr>
          <w:rFonts w:ascii="宋体" w:hAnsi="宋体" w:eastAsia="宋体" w:cs="宋体"/>
          <w:color w:val="607070"/>
          <w:sz w:val="24"/>
          <w:szCs w:val="24"/>
        </w:rPr>
        <w:t xml:space="preserve"> </w:t>
      </w:r>
      <w:r>
        <w:rPr>
          <w:rFonts w:ascii="宋体" w:hAnsi="宋体" w:eastAsia="宋体" w:cs="宋体"/>
          <w:sz w:val="24"/>
          <w:szCs w:val="24"/>
        </w:rPr>
        <w:t>岸通过。水源地存在交通穿越，其中沙明线过往车辆存在危险化学品的情况。</w:t>
      </w:r>
    </w:p>
    <w:p w14:paraId="4078DBA9">
      <w:pPr>
        <w:spacing w:before="22" w:line="219" w:lineRule="auto"/>
        <w:ind w:left="469"/>
        <w:rPr>
          <w:rFonts w:ascii="宋体" w:hAnsi="宋体" w:eastAsia="宋体" w:cs="宋体"/>
          <w:sz w:val="24"/>
          <w:szCs w:val="24"/>
        </w:rPr>
      </w:pPr>
      <w:r>
        <w:rPr>
          <w:rFonts w:ascii="宋体" w:hAnsi="宋体" w:eastAsia="宋体" w:cs="宋体"/>
          <w:spacing w:val="1"/>
          <w:sz w:val="24"/>
          <w:szCs w:val="24"/>
        </w:rPr>
        <w:t>石拐区集中式饮用水水源保护区道路穿越情</w:t>
      </w:r>
      <w:r>
        <w:rPr>
          <w:rFonts w:ascii="宋体" w:hAnsi="宋体" w:eastAsia="宋体" w:cs="宋体"/>
          <w:sz w:val="24"/>
          <w:szCs w:val="24"/>
        </w:rPr>
        <w:t>况见表2-2。</w:t>
      </w:r>
    </w:p>
    <w:p w14:paraId="105E8B8D">
      <w:pPr>
        <w:spacing w:line="219" w:lineRule="auto"/>
        <w:rPr>
          <w:rFonts w:ascii="宋体" w:hAnsi="宋体" w:eastAsia="宋体" w:cs="宋体"/>
          <w:sz w:val="24"/>
          <w:szCs w:val="24"/>
        </w:rPr>
        <w:sectPr>
          <w:footerReference r:id="rId54" w:type="default"/>
          <w:pgSz w:w="11910" w:h="16850"/>
          <w:pgMar w:top="1321" w:right="1739" w:bottom="1563" w:left="1740" w:header="0" w:footer="1401" w:gutter="0"/>
          <w:cols w:space="720" w:num="1"/>
        </w:sectPr>
      </w:pPr>
    </w:p>
    <w:p w14:paraId="242B3AD2">
      <w:pPr>
        <w:spacing w:before="145" w:line="357" w:lineRule="auto"/>
        <w:ind w:right="3"/>
        <w:rPr>
          <w:rFonts w:ascii="宋体" w:hAnsi="宋体" w:eastAsia="宋体" w:cs="宋体"/>
          <w:sz w:val="24"/>
          <w:szCs w:val="24"/>
        </w:rPr>
      </w:pPr>
      <w:r>
        <w:rPr>
          <w:rFonts w:ascii="宋体" w:hAnsi="宋体" w:eastAsia="宋体" w:cs="宋体"/>
          <w:sz w:val="24"/>
          <w:szCs w:val="24"/>
        </w:rPr>
        <w:t>经自治区政府和国家发改委正式批准成为省级工业园区，初步形成了硅系合金、</w:t>
      </w:r>
      <w:r>
        <w:rPr>
          <w:rFonts w:ascii="宋体" w:hAnsi="宋体" w:eastAsia="宋体" w:cs="宋体"/>
          <w:spacing w:val="18"/>
          <w:sz w:val="24"/>
          <w:szCs w:val="24"/>
        </w:rPr>
        <w:t xml:space="preserve"> </w:t>
      </w:r>
      <w:r>
        <w:rPr>
          <w:rFonts w:ascii="宋体" w:hAnsi="宋体" w:eastAsia="宋体" w:cs="宋体"/>
          <w:spacing w:val="1"/>
          <w:sz w:val="24"/>
          <w:szCs w:val="24"/>
        </w:rPr>
        <w:t>电石、工业硅和粗铜为主的产业群。2012 年内蒙古自治区人民</w:t>
      </w:r>
      <w:r>
        <w:rPr>
          <w:rFonts w:ascii="宋体" w:hAnsi="宋体" w:eastAsia="宋体" w:cs="宋体"/>
          <w:sz w:val="24"/>
          <w:szCs w:val="24"/>
        </w:rPr>
        <w:t xml:space="preserve">政府下发了《关  </w:t>
      </w:r>
      <w:r>
        <w:rPr>
          <w:rFonts w:ascii="宋体" w:hAnsi="宋体" w:eastAsia="宋体" w:cs="宋体"/>
          <w:color w:val="607070"/>
          <w:spacing w:val="7"/>
          <w:sz w:val="24"/>
          <w:szCs w:val="24"/>
        </w:rPr>
        <w:t xml:space="preserve">于扩展包头石拐工业园区区域的批复文件(内政字[2012]412)》,2 </w:t>
      </w:r>
      <w:r>
        <w:rPr>
          <w:rFonts w:ascii="宋体" w:hAnsi="宋体" w:eastAsia="宋体" w:cs="宋体"/>
          <w:spacing w:val="6"/>
          <w:sz w:val="24"/>
          <w:szCs w:val="24"/>
        </w:rPr>
        <w:t>014年取得</w:t>
      </w:r>
      <w:r>
        <w:rPr>
          <w:rFonts w:ascii="宋体" w:hAnsi="宋体" w:eastAsia="宋体" w:cs="宋体"/>
          <w:sz w:val="24"/>
          <w:szCs w:val="24"/>
        </w:rPr>
        <w:t xml:space="preserve"> </w:t>
      </w:r>
      <w:r>
        <w:rPr>
          <w:rFonts w:ascii="宋体" w:hAnsi="宋体" w:eastAsia="宋体" w:cs="宋体"/>
          <w:spacing w:val="1"/>
          <w:sz w:val="24"/>
          <w:szCs w:val="24"/>
        </w:rPr>
        <w:t>了内蒙古自治区住房和城乡建设厅关于内蒙古包头石拐工业园区</w:t>
      </w:r>
      <w:r>
        <w:rPr>
          <w:rFonts w:ascii="宋体" w:hAnsi="宋体" w:eastAsia="宋体" w:cs="宋体"/>
          <w:sz w:val="24"/>
          <w:szCs w:val="24"/>
        </w:rPr>
        <w:t xml:space="preserve">总体规划的批   </w:t>
      </w:r>
      <w:r>
        <w:rPr>
          <w:rFonts w:ascii="宋体" w:hAnsi="宋体" w:eastAsia="宋体" w:cs="宋体"/>
          <w:spacing w:val="7"/>
          <w:sz w:val="24"/>
          <w:szCs w:val="24"/>
        </w:rPr>
        <w:t>复(内建规[2014]122号)。园区“一轴三核”</w:t>
      </w:r>
      <w:r>
        <w:rPr>
          <w:rFonts w:ascii="宋体" w:hAnsi="宋体" w:eastAsia="宋体" w:cs="宋体"/>
          <w:spacing w:val="6"/>
          <w:sz w:val="24"/>
          <w:szCs w:val="24"/>
        </w:rPr>
        <w:t>联动发展、</w:t>
      </w:r>
      <w:r>
        <w:rPr>
          <w:rFonts w:ascii="宋体" w:hAnsi="宋体" w:eastAsia="宋体" w:cs="宋体"/>
          <w:spacing w:val="-20"/>
          <w:sz w:val="24"/>
          <w:szCs w:val="24"/>
        </w:rPr>
        <w:t xml:space="preserve"> </w:t>
      </w:r>
      <w:r>
        <w:rPr>
          <w:rFonts w:ascii="宋体" w:hAnsi="宋体" w:eastAsia="宋体" w:cs="宋体"/>
          <w:color w:val="607070"/>
          <w:spacing w:val="6"/>
          <w:sz w:val="24"/>
          <w:szCs w:val="24"/>
        </w:rPr>
        <w:t>包括三个产业园区：</w:t>
      </w:r>
      <w:r>
        <w:rPr>
          <w:rFonts w:ascii="宋体" w:hAnsi="宋体" w:eastAsia="宋体" w:cs="宋体"/>
          <w:color w:val="607070"/>
          <w:sz w:val="24"/>
          <w:szCs w:val="24"/>
        </w:rPr>
        <w:t xml:space="preserve"> </w:t>
      </w:r>
      <w:r>
        <w:rPr>
          <w:rFonts w:ascii="宋体" w:hAnsi="宋体" w:eastAsia="宋体" w:cs="宋体"/>
          <w:sz w:val="24"/>
          <w:szCs w:val="24"/>
        </w:rPr>
        <w:t xml:space="preserve">新材料及物流产业园区、冶金材料产业园区和煤炭及煤层气综合利用产业园区， </w:t>
      </w:r>
      <w:r>
        <w:rPr>
          <w:rFonts w:ascii="宋体" w:hAnsi="宋体" w:eastAsia="宋体" w:cs="宋体"/>
          <w:spacing w:val="-2"/>
          <w:sz w:val="24"/>
          <w:szCs w:val="24"/>
        </w:rPr>
        <w:t>该园区是以有色金属及材料生产加工、现代装备制造产业为主的自治区级工业园</w:t>
      </w:r>
      <w:r>
        <w:rPr>
          <w:rFonts w:ascii="宋体" w:hAnsi="宋体" w:eastAsia="宋体" w:cs="宋体"/>
          <w:spacing w:val="10"/>
          <w:sz w:val="24"/>
          <w:szCs w:val="24"/>
        </w:rPr>
        <w:t xml:space="preserve"> </w:t>
      </w:r>
      <w:r>
        <w:rPr>
          <w:rFonts w:ascii="宋体" w:hAnsi="宋体" w:eastAsia="宋体" w:cs="宋体"/>
          <w:spacing w:val="-14"/>
          <w:sz w:val="24"/>
          <w:szCs w:val="24"/>
        </w:rPr>
        <w:t>区。</w:t>
      </w:r>
    </w:p>
    <w:p w14:paraId="4C43934B">
      <w:pPr>
        <w:spacing w:before="27" w:line="333" w:lineRule="auto"/>
        <w:ind w:right="82" w:firstLine="489"/>
        <w:jc w:val="both"/>
        <w:rPr>
          <w:rFonts w:ascii="宋体" w:hAnsi="宋体" w:eastAsia="宋体" w:cs="宋体"/>
          <w:sz w:val="25"/>
          <w:szCs w:val="25"/>
        </w:rPr>
      </w:pPr>
      <w:r>
        <w:rPr>
          <w:rFonts w:ascii="宋体" w:hAnsi="宋体" w:eastAsia="宋体" w:cs="宋体"/>
          <w:spacing w:val="7"/>
          <w:sz w:val="25"/>
          <w:szCs w:val="25"/>
        </w:rPr>
        <w:t>据统计，石拐区2016年生产总值103.61×108元，增长7.5%;固定资产</w:t>
      </w:r>
      <w:r>
        <w:rPr>
          <w:rFonts w:ascii="宋体" w:hAnsi="宋体" w:eastAsia="宋体" w:cs="宋体"/>
          <w:spacing w:val="11"/>
          <w:sz w:val="25"/>
          <w:szCs w:val="25"/>
        </w:rPr>
        <w:t xml:space="preserve"> </w:t>
      </w:r>
      <w:r>
        <w:rPr>
          <w:rFonts w:ascii="宋体" w:hAnsi="宋体" w:eastAsia="宋体" w:cs="宋体"/>
          <w:spacing w:val="8"/>
          <w:sz w:val="25"/>
          <w:szCs w:val="25"/>
        </w:rPr>
        <w:t>投资完成74.4亿元，增长14.4%;城乡居民收入达到35722元和13429元，增</w:t>
      </w:r>
      <w:r>
        <w:rPr>
          <w:rFonts w:ascii="宋体" w:hAnsi="宋体" w:eastAsia="宋体" w:cs="宋体"/>
          <w:spacing w:val="3"/>
          <w:sz w:val="25"/>
          <w:szCs w:val="25"/>
        </w:rPr>
        <w:t xml:space="preserve"> </w:t>
      </w:r>
      <w:r>
        <w:rPr>
          <w:rFonts w:ascii="宋体" w:hAnsi="宋体" w:eastAsia="宋体" w:cs="宋体"/>
          <w:spacing w:val="1"/>
          <w:sz w:val="25"/>
          <w:szCs w:val="25"/>
        </w:rPr>
        <w:t>幅分别为7.6%和7.7%。</w:t>
      </w:r>
    </w:p>
    <w:p w14:paraId="6E44E6EB">
      <w:pPr>
        <w:spacing w:before="27" w:line="219" w:lineRule="auto"/>
        <w:ind w:left="600"/>
        <w:rPr>
          <w:rFonts w:ascii="宋体" w:hAnsi="宋体" w:eastAsia="宋体" w:cs="宋体"/>
          <w:sz w:val="24"/>
          <w:szCs w:val="24"/>
        </w:rPr>
      </w:pPr>
      <w:r>
        <w:rPr>
          <w:rFonts w:ascii="宋体" w:hAnsi="宋体" w:eastAsia="宋体" w:cs="宋体"/>
          <w:spacing w:val="13"/>
          <w:sz w:val="24"/>
          <w:szCs w:val="24"/>
        </w:rPr>
        <w:t>(3)产业结构及布局</w:t>
      </w:r>
    </w:p>
    <w:p w14:paraId="3D80471C">
      <w:pPr>
        <w:spacing w:before="209" w:line="352" w:lineRule="auto"/>
        <w:ind w:right="68" w:firstLine="489"/>
        <w:rPr>
          <w:rFonts w:ascii="宋体" w:hAnsi="宋体" w:eastAsia="宋体" w:cs="宋体"/>
          <w:sz w:val="24"/>
          <w:szCs w:val="24"/>
        </w:rPr>
      </w:pPr>
      <w:r>
        <w:rPr>
          <w:rFonts w:ascii="宋体" w:hAnsi="宋体" w:eastAsia="宋体" w:cs="宋体"/>
          <w:sz w:val="25"/>
          <w:szCs w:val="25"/>
        </w:rPr>
        <w:t>包头石拐工业园区规划总面积60.38平方公里，总建</w:t>
      </w:r>
      <w:r>
        <w:rPr>
          <w:rFonts w:ascii="宋体" w:hAnsi="宋体" w:eastAsia="宋体" w:cs="宋体"/>
          <w:spacing w:val="-1"/>
          <w:sz w:val="25"/>
          <w:szCs w:val="25"/>
        </w:rPr>
        <w:t>设用地面积为44.6平</w:t>
      </w:r>
      <w:r>
        <w:rPr>
          <w:rFonts w:ascii="宋体" w:hAnsi="宋体" w:eastAsia="宋体" w:cs="宋体"/>
          <w:sz w:val="25"/>
          <w:szCs w:val="25"/>
        </w:rPr>
        <w:t xml:space="preserve"> </w:t>
      </w:r>
      <w:r>
        <w:rPr>
          <w:rFonts w:ascii="宋体" w:hAnsi="宋体" w:eastAsia="宋体" w:cs="宋体"/>
          <w:spacing w:val="1"/>
          <w:sz w:val="25"/>
          <w:szCs w:val="25"/>
        </w:rPr>
        <w:t>方公里。</w:t>
      </w:r>
      <w:r>
        <w:rPr>
          <w:rFonts w:ascii="宋体" w:hAnsi="宋体" w:eastAsia="宋体" w:cs="宋体"/>
          <w:color w:val="607070"/>
          <w:spacing w:val="1"/>
          <w:sz w:val="25"/>
          <w:szCs w:val="25"/>
        </w:rPr>
        <w:t>累计完成固定资产投资135亿元，实现工业总产值422亿元</w:t>
      </w:r>
      <w:r>
        <w:rPr>
          <w:rFonts w:ascii="宋体" w:hAnsi="宋体" w:eastAsia="宋体" w:cs="宋体"/>
          <w:spacing w:val="1"/>
          <w:sz w:val="25"/>
          <w:szCs w:val="25"/>
        </w:rPr>
        <w:t>，上缴税</w:t>
      </w:r>
      <w:r>
        <w:rPr>
          <w:rFonts w:ascii="宋体" w:hAnsi="宋体" w:eastAsia="宋体" w:cs="宋体"/>
          <w:spacing w:val="12"/>
          <w:sz w:val="25"/>
          <w:szCs w:val="25"/>
        </w:rPr>
        <w:t xml:space="preserve"> </w:t>
      </w:r>
      <w:r>
        <w:rPr>
          <w:rFonts w:ascii="宋体" w:hAnsi="宋体" w:eastAsia="宋体" w:cs="宋体"/>
          <w:spacing w:val="1"/>
          <w:sz w:val="24"/>
          <w:szCs w:val="24"/>
        </w:rPr>
        <w:t>金9.8亿元。基本形成镁合金及应用、煤炭综合利用、特种钢深加工、多元素基</w:t>
      </w:r>
      <w:r>
        <w:rPr>
          <w:rFonts w:ascii="宋体" w:hAnsi="宋体" w:eastAsia="宋体" w:cs="宋体"/>
          <w:spacing w:val="13"/>
          <w:sz w:val="24"/>
          <w:szCs w:val="24"/>
        </w:rPr>
        <w:t xml:space="preserve"> </w:t>
      </w:r>
      <w:r>
        <w:rPr>
          <w:rFonts w:ascii="宋体" w:hAnsi="宋体" w:eastAsia="宋体" w:cs="宋体"/>
          <w:spacing w:val="1"/>
          <w:sz w:val="24"/>
          <w:szCs w:val="24"/>
        </w:rPr>
        <w:t>础材料合金加工、工业废渣循环利用五个在自治区具有规模经济</w:t>
      </w:r>
      <w:r>
        <w:rPr>
          <w:rFonts w:ascii="宋体" w:hAnsi="宋体" w:eastAsia="宋体" w:cs="宋体"/>
          <w:sz w:val="24"/>
          <w:szCs w:val="24"/>
        </w:rPr>
        <w:t xml:space="preserve">优势的产业集  </w:t>
      </w:r>
      <w:r>
        <w:rPr>
          <w:rFonts w:ascii="宋体" w:hAnsi="宋体" w:eastAsia="宋体" w:cs="宋体"/>
          <w:spacing w:val="-2"/>
          <w:sz w:val="24"/>
          <w:szCs w:val="24"/>
        </w:rPr>
        <w:t>群。园区内主要原料包括：铁精矿、洗精煤、焦炭、煤粉、膨润土、熔剂、生石</w:t>
      </w:r>
      <w:r>
        <w:rPr>
          <w:rFonts w:ascii="宋体" w:hAnsi="宋体" w:eastAsia="宋体" w:cs="宋体"/>
          <w:spacing w:val="1"/>
          <w:sz w:val="24"/>
          <w:szCs w:val="24"/>
        </w:rPr>
        <w:t xml:space="preserve"> </w:t>
      </w:r>
      <w:r>
        <w:rPr>
          <w:rFonts w:ascii="宋体" w:hAnsi="宋体" w:eastAsia="宋体" w:cs="宋体"/>
          <w:spacing w:val="-2"/>
          <w:sz w:val="24"/>
          <w:szCs w:val="24"/>
        </w:rPr>
        <w:t>灰、钢材、电极糊、硅石、石灰石等。园区内原料场均采用封闭和半封闭堆</w:t>
      </w:r>
      <w:r>
        <w:rPr>
          <w:rFonts w:ascii="宋体" w:hAnsi="宋体" w:eastAsia="宋体" w:cs="宋体"/>
          <w:spacing w:val="-3"/>
          <w:sz w:val="24"/>
          <w:szCs w:val="24"/>
        </w:rPr>
        <w:t>存方</w:t>
      </w:r>
      <w:r>
        <w:rPr>
          <w:rFonts w:ascii="宋体" w:hAnsi="宋体" w:eastAsia="宋体" w:cs="宋体"/>
          <w:sz w:val="24"/>
          <w:szCs w:val="24"/>
        </w:rPr>
        <w:t xml:space="preserve"> </w:t>
      </w:r>
      <w:r>
        <w:rPr>
          <w:rFonts w:ascii="宋体" w:hAnsi="宋体" w:eastAsia="宋体" w:cs="宋体"/>
          <w:spacing w:val="1"/>
          <w:sz w:val="24"/>
          <w:szCs w:val="24"/>
        </w:rPr>
        <w:t>式。园区生产生活废水排入石拐污水厂经处</w:t>
      </w:r>
      <w:r>
        <w:rPr>
          <w:rFonts w:ascii="宋体" w:hAnsi="宋体" w:eastAsia="宋体" w:cs="宋体"/>
          <w:sz w:val="24"/>
          <w:szCs w:val="24"/>
        </w:rPr>
        <w:t>理后回用。</w:t>
      </w:r>
    </w:p>
    <w:p w14:paraId="26195384">
      <w:pPr>
        <w:spacing w:before="44" w:line="348" w:lineRule="auto"/>
        <w:ind w:right="93" w:firstLine="489"/>
        <w:rPr>
          <w:rFonts w:ascii="宋体" w:hAnsi="宋体" w:eastAsia="宋体" w:cs="宋体"/>
          <w:sz w:val="24"/>
          <w:szCs w:val="24"/>
        </w:rPr>
      </w:pPr>
      <w:r>
        <w:rPr>
          <w:rFonts w:ascii="宋体" w:hAnsi="宋体" w:eastAsia="宋体" w:cs="宋体"/>
          <w:spacing w:val="1"/>
          <w:sz w:val="24"/>
          <w:szCs w:val="24"/>
        </w:rPr>
        <w:t>水源地位于包头市石拐工业园区的冶金材料</w:t>
      </w:r>
      <w:r>
        <w:rPr>
          <w:rFonts w:ascii="宋体" w:hAnsi="宋体" w:eastAsia="宋体" w:cs="宋体"/>
          <w:sz w:val="24"/>
          <w:szCs w:val="24"/>
        </w:rPr>
        <w:t xml:space="preserve">产业园区和煤炭及煤层气综合  </w:t>
      </w:r>
      <w:r>
        <w:rPr>
          <w:rFonts w:ascii="宋体" w:hAnsi="宋体" w:eastAsia="宋体" w:cs="宋体"/>
          <w:spacing w:val="1"/>
          <w:sz w:val="24"/>
          <w:szCs w:val="24"/>
        </w:rPr>
        <w:t>利用产业园区之间。1#井距离冶金材料产业园区约2.8</w:t>
      </w:r>
      <w:r>
        <w:rPr>
          <w:rFonts w:ascii="Times New Roman" w:hAnsi="Times New Roman" w:eastAsia="Times New Roman" w:cs="Times New Roman"/>
          <w:sz w:val="24"/>
          <w:szCs w:val="24"/>
        </w:rPr>
        <w:t>km</w:t>
      </w:r>
      <w:r>
        <w:rPr>
          <w:rFonts w:ascii="宋体" w:hAnsi="宋体" w:eastAsia="宋体" w:cs="宋体"/>
          <w:spacing w:val="1"/>
          <w:sz w:val="24"/>
          <w:szCs w:val="24"/>
        </w:rPr>
        <w:t>,</w:t>
      </w:r>
      <w:r>
        <w:rPr>
          <w:rFonts w:ascii="宋体" w:hAnsi="宋体" w:eastAsia="宋体" w:cs="宋体"/>
          <w:spacing w:val="-54"/>
          <w:sz w:val="24"/>
          <w:szCs w:val="24"/>
        </w:rPr>
        <w:t xml:space="preserve"> </w:t>
      </w:r>
      <w:r>
        <w:rPr>
          <w:rFonts w:ascii="宋体" w:hAnsi="宋体" w:eastAsia="宋体" w:cs="宋体"/>
          <w:spacing w:val="1"/>
          <w:sz w:val="24"/>
          <w:szCs w:val="24"/>
        </w:rPr>
        <w:t>距离煤炭及煤层气综</w:t>
      </w:r>
      <w:r>
        <w:rPr>
          <w:rFonts w:ascii="宋体" w:hAnsi="宋体" w:eastAsia="宋体" w:cs="宋体"/>
          <w:sz w:val="24"/>
          <w:szCs w:val="24"/>
        </w:rPr>
        <w:t xml:space="preserve"> </w:t>
      </w:r>
      <w:r>
        <w:rPr>
          <w:rFonts w:ascii="宋体" w:hAnsi="宋体" w:eastAsia="宋体" w:cs="宋体"/>
          <w:spacing w:val="2"/>
          <w:sz w:val="24"/>
          <w:szCs w:val="24"/>
        </w:rPr>
        <w:t>合利用产业园区1.8</w:t>
      </w:r>
      <w:r>
        <w:rPr>
          <w:rFonts w:ascii="Times New Roman" w:hAnsi="Times New Roman" w:eastAsia="Times New Roman" w:cs="Times New Roman"/>
          <w:sz w:val="24"/>
          <w:szCs w:val="24"/>
        </w:rPr>
        <w:t>km</w:t>
      </w:r>
      <w:r>
        <w:rPr>
          <w:rFonts w:ascii="宋体" w:hAnsi="宋体" w:eastAsia="宋体" w:cs="宋体"/>
          <w:spacing w:val="2"/>
          <w:sz w:val="24"/>
          <w:szCs w:val="24"/>
        </w:rPr>
        <w:t>。</w:t>
      </w:r>
    </w:p>
    <w:p w14:paraId="42A4CEAE">
      <w:pPr>
        <w:spacing w:before="25" w:line="220" w:lineRule="auto"/>
        <w:ind w:left="600"/>
        <w:rPr>
          <w:rFonts w:ascii="宋体" w:hAnsi="宋体" w:eastAsia="宋体" w:cs="宋体"/>
          <w:sz w:val="23"/>
          <w:szCs w:val="23"/>
        </w:rPr>
      </w:pPr>
      <w:r>
        <w:rPr>
          <w:rFonts w:ascii="宋体" w:hAnsi="宋体" w:eastAsia="宋体" w:cs="宋体"/>
          <w:spacing w:val="2"/>
          <w:sz w:val="23"/>
          <w:szCs w:val="23"/>
        </w:rPr>
        <w:t>(4)</w:t>
      </w:r>
      <w:r>
        <w:rPr>
          <w:rFonts w:ascii="宋体" w:hAnsi="宋体" w:eastAsia="宋体" w:cs="宋体"/>
          <w:spacing w:val="50"/>
          <w:sz w:val="23"/>
          <w:szCs w:val="23"/>
        </w:rPr>
        <w:t xml:space="preserve"> </w:t>
      </w:r>
      <w:r>
        <w:rPr>
          <w:rFonts w:ascii="宋体" w:hAnsi="宋体" w:eastAsia="宋体" w:cs="宋体"/>
          <w:spacing w:val="2"/>
          <w:sz w:val="23"/>
          <w:szCs w:val="23"/>
        </w:rPr>
        <w:t>能源结构</w:t>
      </w:r>
    </w:p>
    <w:p w14:paraId="67AE4776">
      <w:pPr>
        <w:spacing w:before="207" w:line="357" w:lineRule="auto"/>
        <w:ind w:right="85" w:firstLine="489"/>
        <w:rPr>
          <w:rFonts w:ascii="宋体" w:hAnsi="宋体" w:eastAsia="宋体" w:cs="宋体"/>
          <w:sz w:val="24"/>
          <w:szCs w:val="24"/>
        </w:rPr>
      </w:pPr>
      <w:r>
        <w:rPr>
          <w:rFonts w:ascii="宋体" w:hAnsi="宋体" w:eastAsia="宋体" w:cs="宋体"/>
          <w:spacing w:val="-2"/>
          <w:sz w:val="24"/>
          <w:szCs w:val="24"/>
        </w:rPr>
        <w:t>石拐区能源消费以原煤为主，清洁能源消费比重小。工业</w:t>
      </w:r>
      <w:r>
        <w:rPr>
          <w:rFonts w:ascii="宋体" w:hAnsi="宋体" w:eastAsia="宋体" w:cs="宋体"/>
          <w:spacing w:val="-3"/>
          <w:sz w:val="24"/>
          <w:szCs w:val="24"/>
        </w:rPr>
        <w:t>企业能源消费品种</w:t>
      </w:r>
      <w:r>
        <w:rPr>
          <w:rFonts w:ascii="宋体" w:hAnsi="宋体" w:eastAsia="宋体" w:cs="宋体"/>
          <w:sz w:val="24"/>
          <w:szCs w:val="24"/>
        </w:rPr>
        <w:t xml:space="preserve"> </w:t>
      </w:r>
      <w:r>
        <w:rPr>
          <w:rFonts w:ascii="宋体" w:hAnsi="宋体" w:eastAsia="宋体" w:cs="宋体"/>
          <w:spacing w:val="6"/>
          <w:sz w:val="24"/>
          <w:szCs w:val="24"/>
        </w:rPr>
        <w:t>主要有7种，为原煤、焦炭、天然气、电力、柴油、汽油、液</w:t>
      </w:r>
      <w:r>
        <w:rPr>
          <w:rFonts w:ascii="宋体" w:hAnsi="宋体" w:eastAsia="宋体" w:cs="宋体"/>
          <w:spacing w:val="5"/>
          <w:sz w:val="24"/>
          <w:szCs w:val="24"/>
        </w:rPr>
        <w:t>化石油气。工业</w:t>
      </w:r>
      <w:r>
        <w:rPr>
          <w:rFonts w:ascii="宋体" w:hAnsi="宋体" w:eastAsia="宋体" w:cs="宋体"/>
          <w:sz w:val="24"/>
          <w:szCs w:val="24"/>
        </w:rPr>
        <w:t xml:space="preserve"> </w:t>
      </w:r>
      <w:r>
        <w:rPr>
          <w:rFonts w:ascii="宋体" w:hAnsi="宋体" w:eastAsia="宋体" w:cs="宋体"/>
          <w:spacing w:val="-2"/>
          <w:sz w:val="24"/>
          <w:szCs w:val="24"/>
        </w:rPr>
        <w:t>企业主要能源消费品为煤炭，原煤综合消费消费比重大，其他品种占比重</w:t>
      </w:r>
      <w:r>
        <w:rPr>
          <w:rFonts w:ascii="宋体" w:hAnsi="宋体" w:eastAsia="宋体" w:cs="宋体"/>
          <w:spacing w:val="-3"/>
          <w:sz w:val="24"/>
          <w:szCs w:val="24"/>
        </w:rPr>
        <w:t>低，特</w:t>
      </w:r>
      <w:r>
        <w:rPr>
          <w:rFonts w:ascii="宋体" w:hAnsi="宋体" w:eastAsia="宋体" w:cs="宋体"/>
          <w:sz w:val="24"/>
          <w:szCs w:val="24"/>
        </w:rPr>
        <w:t xml:space="preserve"> </w:t>
      </w:r>
      <w:r>
        <w:rPr>
          <w:rFonts w:ascii="宋体" w:hAnsi="宋体" w:eastAsia="宋体" w:cs="宋体"/>
          <w:spacing w:val="-1"/>
          <w:sz w:val="24"/>
          <w:szCs w:val="24"/>
        </w:rPr>
        <w:t>别是清洁能源消耗比重低。</w:t>
      </w:r>
    </w:p>
    <w:p w14:paraId="5FCF22B9">
      <w:pPr>
        <w:spacing w:before="2" w:line="219" w:lineRule="auto"/>
        <w:ind w:left="600"/>
        <w:rPr>
          <w:rFonts w:ascii="宋体" w:hAnsi="宋体" w:eastAsia="宋体" w:cs="宋体"/>
          <w:sz w:val="24"/>
          <w:szCs w:val="24"/>
        </w:rPr>
      </w:pPr>
      <w:r>
        <w:rPr>
          <w:rFonts w:ascii="宋体" w:hAnsi="宋体" w:eastAsia="宋体" w:cs="宋体"/>
          <w:spacing w:val="13"/>
          <w:sz w:val="24"/>
          <w:szCs w:val="24"/>
        </w:rPr>
        <w:t>(5)农业种植养殖结构</w:t>
      </w:r>
    </w:p>
    <w:p w14:paraId="75EB1394">
      <w:pPr>
        <w:spacing w:before="186" w:line="219" w:lineRule="auto"/>
        <w:ind w:left="489"/>
        <w:rPr>
          <w:rFonts w:ascii="宋体" w:hAnsi="宋体" w:eastAsia="宋体" w:cs="宋体"/>
          <w:sz w:val="26"/>
          <w:szCs w:val="26"/>
        </w:rPr>
      </w:pPr>
      <w:r>
        <w:rPr>
          <w:rFonts w:ascii="宋体" w:hAnsi="宋体" w:eastAsia="宋体" w:cs="宋体"/>
          <w:spacing w:val="-8"/>
          <w:sz w:val="26"/>
          <w:szCs w:val="26"/>
        </w:rPr>
        <w:t>2016年，石拐区农林牧渔业总产值1.41</w:t>
      </w:r>
      <w:r>
        <w:rPr>
          <w:rFonts w:ascii="宋体" w:hAnsi="宋体" w:eastAsia="宋体" w:cs="宋体"/>
          <w:spacing w:val="-35"/>
          <w:sz w:val="26"/>
          <w:szCs w:val="26"/>
        </w:rPr>
        <w:t xml:space="preserve"> </w:t>
      </w:r>
      <w:r>
        <w:rPr>
          <w:rFonts w:ascii="宋体" w:hAnsi="宋体" w:eastAsia="宋体" w:cs="宋体"/>
          <w:spacing w:val="-8"/>
          <w:sz w:val="26"/>
          <w:szCs w:val="26"/>
        </w:rPr>
        <w:t>亿元，农作物总播种</w:t>
      </w:r>
      <w:r>
        <w:rPr>
          <w:rFonts w:ascii="宋体" w:hAnsi="宋体" w:eastAsia="宋体" w:cs="宋体"/>
          <w:spacing w:val="-9"/>
          <w:sz w:val="26"/>
          <w:szCs w:val="26"/>
        </w:rPr>
        <w:t>面积2937公</w:t>
      </w:r>
    </w:p>
    <w:p w14:paraId="3AF55EFE">
      <w:pPr>
        <w:spacing w:line="219" w:lineRule="auto"/>
        <w:rPr>
          <w:rFonts w:ascii="宋体" w:hAnsi="宋体" w:eastAsia="宋体" w:cs="宋体"/>
          <w:sz w:val="26"/>
          <w:szCs w:val="26"/>
        </w:rPr>
        <w:sectPr>
          <w:footerReference r:id="rId55" w:type="default"/>
          <w:pgSz w:w="11910" w:h="16850"/>
          <w:pgMar w:top="1432" w:right="1786" w:bottom="1393" w:left="1700" w:header="0" w:footer="1231" w:gutter="0"/>
          <w:cols w:space="720" w:num="1"/>
        </w:sectPr>
      </w:pPr>
    </w:p>
    <w:p w14:paraId="2782C878">
      <w:pPr>
        <w:spacing w:before="48" w:line="355" w:lineRule="auto"/>
        <w:ind w:right="72" w:firstLine="499"/>
        <w:jc w:val="both"/>
        <w:rPr>
          <w:rFonts w:ascii="宋体" w:hAnsi="宋体" w:eastAsia="宋体" w:cs="宋体"/>
          <w:sz w:val="24"/>
          <w:szCs w:val="24"/>
        </w:rPr>
      </w:pPr>
      <w:r>
        <w:rPr>
          <w:rFonts w:ascii="宋体" w:hAnsi="宋体" w:eastAsia="宋体" w:cs="宋体"/>
          <w:spacing w:val="-2"/>
          <w:sz w:val="24"/>
          <w:szCs w:val="24"/>
        </w:rPr>
        <w:t>石拐区内地下水按含水介质和含水类型可分为第四系松散岩类孔隙</w:t>
      </w:r>
      <w:r>
        <w:rPr>
          <w:rFonts w:ascii="宋体" w:hAnsi="宋体" w:eastAsia="宋体" w:cs="宋体"/>
          <w:spacing w:val="-3"/>
          <w:sz w:val="24"/>
          <w:szCs w:val="24"/>
        </w:rPr>
        <w:t>潜水、碎</w:t>
      </w:r>
      <w:r>
        <w:rPr>
          <w:rFonts w:ascii="宋体" w:hAnsi="宋体" w:eastAsia="宋体" w:cs="宋体"/>
          <w:sz w:val="24"/>
          <w:szCs w:val="24"/>
        </w:rPr>
        <w:t xml:space="preserve"> </w:t>
      </w:r>
      <w:r>
        <w:rPr>
          <w:rFonts w:ascii="宋体" w:hAnsi="宋体" w:eastAsia="宋体" w:cs="宋体"/>
          <w:spacing w:val="-2"/>
          <w:sz w:val="24"/>
          <w:szCs w:val="24"/>
        </w:rPr>
        <w:t>屑岩类裂隙孔隙水和基岩裂隙水三种类型。石拐区居民生活用水、工业用水和农</w:t>
      </w:r>
      <w:r>
        <w:rPr>
          <w:rFonts w:ascii="宋体" w:hAnsi="宋体" w:eastAsia="宋体" w:cs="宋体"/>
          <w:spacing w:val="3"/>
          <w:sz w:val="24"/>
          <w:szCs w:val="24"/>
        </w:rPr>
        <w:t xml:space="preserve"> </w:t>
      </w:r>
      <w:r>
        <w:rPr>
          <w:rFonts w:ascii="宋体" w:hAnsi="宋体" w:eastAsia="宋体" w:cs="宋体"/>
          <w:spacing w:val="-2"/>
          <w:sz w:val="24"/>
          <w:szCs w:val="24"/>
        </w:rPr>
        <w:t>田灌溉主要利用第四系孔隙潜水，贮量贫乏，主要分</w:t>
      </w:r>
      <w:r>
        <w:rPr>
          <w:rFonts w:ascii="宋体" w:hAnsi="宋体" w:eastAsia="宋体" w:cs="宋体"/>
          <w:spacing w:val="-3"/>
          <w:sz w:val="24"/>
          <w:szCs w:val="24"/>
        </w:rPr>
        <w:t>布在几条河沟内，由洪水和</w:t>
      </w:r>
      <w:r>
        <w:rPr>
          <w:rFonts w:ascii="宋体" w:hAnsi="宋体" w:eastAsia="宋体" w:cs="宋体"/>
          <w:sz w:val="24"/>
          <w:szCs w:val="24"/>
        </w:rPr>
        <w:t xml:space="preserve"> 山沟泉水补充，埋藏深度在1.5-3</w:t>
      </w:r>
      <w:r>
        <w:rPr>
          <w:rFonts w:ascii="Times New Roman" w:hAnsi="Times New Roman" w:eastAsia="Times New Roman" w:cs="Times New Roman"/>
          <w:sz w:val="24"/>
          <w:szCs w:val="24"/>
        </w:rPr>
        <w:t>m</w:t>
      </w:r>
      <w:r>
        <w:rPr>
          <w:rFonts w:ascii="Times New Roman" w:hAnsi="Times New Roman" w:eastAsia="Times New Roman" w:cs="Times New Roman"/>
          <w:spacing w:val="64"/>
          <w:sz w:val="24"/>
          <w:szCs w:val="24"/>
        </w:rPr>
        <w:t xml:space="preserve"> </w:t>
      </w:r>
      <w:r>
        <w:rPr>
          <w:rFonts w:ascii="宋体" w:hAnsi="宋体" w:eastAsia="宋体" w:cs="宋体"/>
          <w:sz w:val="24"/>
          <w:szCs w:val="24"/>
        </w:rPr>
        <w:t>之间，储量约为1.0×10</w:t>
      </w:r>
      <w:r>
        <w:rPr>
          <w:rFonts w:ascii="Calibri" w:hAnsi="Calibri" w:eastAsia="Calibri" w:cs="Calibri"/>
          <w:sz w:val="24"/>
          <w:szCs w:val="24"/>
        </w:rPr>
        <w:t>⁷</w:t>
      </w:r>
      <w:r>
        <w:rPr>
          <w:rFonts w:ascii="Times New Roman" w:hAnsi="Times New Roman" w:eastAsia="Times New Roman" w:cs="Times New Roman"/>
          <w:sz w:val="24"/>
          <w:szCs w:val="24"/>
        </w:rPr>
        <w:t>m³</w:t>
      </w:r>
      <w:r>
        <w:rPr>
          <w:rFonts w:ascii="宋体" w:hAnsi="宋体" w:eastAsia="宋体" w:cs="宋体"/>
          <w:sz w:val="24"/>
          <w:szCs w:val="24"/>
        </w:rPr>
        <w:t>。</w:t>
      </w:r>
    </w:p>
    <w:p w14:paraId="4E26C20E">
      <w:pPr>
        <w:spacing w:before="14" w:line="219" w:lineRule="auto"/>
        <w:ind w:left="629"/>
        <w:rPr>
          <w:rFonts w:ascii="宋体" w:hAnsi="宋体" w:eastAsia="宋体" w:cs="宋体"/>
          <w:sz w:val="24"/>
          <w:szCs w:val="24"/>
        </w:rPr>
      </w:pPr>
      <w:r>
        <w:rPr>
          <w:rFonts w:ascii="宋体" w:hAnsi="宋体" w:eastAsia="宋体" w:cs="宋体"/>
          <w:spacing w:val="12"/>
          <w:sz w:val="24"/>
          <w:szCs w:val="24"/>
        </w:rPr>
        <w:t>(4)水源地自然特征</w:t>
      </w:r>
    </w:p>
    <w:p w14:paraId="59ECD9B7">
      <w:pPr>
        <w:spacing w:before="185" w:line="355" w:lineRule="auto"/>
        <w:ind w:right="77" w:firstLine="499"/>
        <w:rPr>
          <w:rFonts w:ascii="宋体" w:hAnsi="宋体" w:eastAsia="宋体" w:cs="宋体"/>
          <w:sz w:val="24"/>
          <w:szCs w:val="24"/>
        </w:rPr>
      </w:pPr>
      <w:r>
        <w:rPr>
          <w:rFonts w:ascii="宋体" w:hAnsi="宋体" w:eastAsia="宋体" w:cs="宋体"/>
          <w:spacing w:val="2"/>
          <w:sz w:val="24"/>
          <w:szCs w:val="24"/>
        </w:rPr>
        <w:t>石拐区水源地1#井位于大青山以南的五当沟岸边。1#井位于五当召镇缸房</w:t>
      </w:r>
      <w:r>
        <w:rPr>
          <w:rFonts w:ascii="宋体" w:hAnsi="宋体" w:eastAsia="宋体" w:cs="宋体"/>
          <w:spacing w:val="7"/>
          <w:sz w:val="24"/>
          <w:szCs w:val="24"/>
        </w:rPr>
        <w:t xml:space="preserve"> </w:t>
      </w:r>
      <w:r>
        <w:rPr>
          <w:rFonts w:ascii="宋体" w:hAnsi="宋体" w:eastAsia="宋体" w:cs="宋体"/>
          <w:spacing w:val="-2"/>
          <w:sz w:val="24"/>
          <w:szCs w:val="24"/>
        </w:rPr>
        <w:t>地村东南约500</w:t>
      </w:r>
      <w:r>
        <w:rPr>
          <w:rFonts w:ascii="Times New Roman" w:hAnsi="Times New Roman" w:eastAsia="Times New Roman" w:cs="Times New Roman"/>
          <w:spacing w:val="-2"/>
          <w:sz w:val="24"/>
          <w:szCs w:val="24"/>
        </w:rPr>
        <w:t>m</w:t>
      </w:r>
      <w:r>
        <w:rPr>
          <w:rFonts w:ascii="宋体" w:hAnsi="宋体" w:eastAsia="宋体" w:cs="宋体"/>
          <w:spacing w:val="-2"/>
          <w:sz w:val="24"/>
          <w:szCs w:val="24"/>
        </w:rPr>
        <w:t>。位于五当沟西岸，距离主沟约20</w:t>
      </w:r>
      <w:r>
        <w:rPr>
          <w:rFonts w:ascii="Times New Roman" w:hAnsi="Times New Roman" w:eastAsia="Times New Roman" w:cs="Times New Roman"/>
          <w:spacing w:val="-2"/>
          <w:sz w:val="24"/>
          <w:szCs w:val="24"/>
        </w:rPr>
        <w:t>m</w:t>
      </w:r>
      <w:r>
        <w:rPr>
          <w:rFonts w:ascii="宋体" w:hAnsi="宋体" w:eastAsia="宋体" w:cs="宋体"/>
          <w:spacing w:val="-2"/>
          <w:sz w:val="24"/>
          <w:szCs w:val="24"/>
        </w:rPr>
        <w:t>。该河段较为顺直，两</w:t>
      </w:r>
      <w:r>
        <w:rPr>
          <w:rFonts w:ascii="宋体" w:hAnsi="宋体" w:eastAsia="宋体" w:cs="宋体"/>
          <w:spacing w:val="-3"/>
          <w:sz w:val="24"/>
          <w:szCs w:val="24"/>
        </w:rPr>
        <w:t>岸用</w:t>
      </w:r>
      <w:r>
        <w:rPr>
          <w:rFonts w:ascii="宋体" w:hAnsi="宋体" w:eastAsia="宋体" w:cs="宋体"/>
          <w:sz w:val="24"/>
          <w:szCs w:val="24"/>
        </w:rPr>
        <w:t xml:space="preserve"> </w:t>
      </w:r>
      <w:r>
        <w:rPr>
          <w:rFonts w:ascii="宋体" w:hAnsi="宋体" w:eastAsia="宋体" w:cs="宋体"/>
          <w:spacing w:val="1"/>
          <w:sz w:val="24"/>
          <w:szCs w:val="24"/>
        </w:rPr>
        <w:t>地主要为农田、林地和村庄。沙明线经水源地1#井东侧约23</w:t>
      </w:r>
      <w:r>
        <w:rPr>
          <w:rFonts w:ascii="宋体" w:hAnsi="宋体" w:eastAsia="宋体" w:cs="宋体"/>
          <w:sz w:val="24"/>
          <w:szCs w:val="24"/>
        </w:rPr>
        <w:t>0</w:t>
      </w:r>
      <w:r>
        <w:rPr>
          <w:rFonts w:ascii="Times New Roman" w:hAnsi="Times New Roman" w:eastAsia="Times New Roman" w:cs="Times New Roman"/>
          <w:sz w:val="24"/>
          <w:szCs w:val="24"/>
        </w:rPr>
        <w:t>m</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处通过，是连接 石拐至固阳的道路，该线路运输车辆主要为货运车</w:t>
      </w:r>
      <w:r>
        <w:rPr>
          <w:rFonts w:ascii="宋体" w:hAnsi="宋体" w:eastAsia="宋体" w:cs="宋体"/>
          <w:spacing w:val="-1"/>
          <w:sz w:val="24"/>
          <w:szCs w:val="24"/>
        </w:rPr>
        <w:t>辆。</w:t>
      </w:r>
    </w:p>
    <w:p w14:paraId="51E8EB34">
      <w:pPr>
        <w:spacing w:line="218" w:lineRule="auto"/>
        <w:ind w:left="3"/>
        <w:rPr>
          <w:rFonts w:ascii="宋体" w:hAnsi="宋体" w:eastAsia="宋体" w:cs="宋体"/>
          <w:sz w:val="26"/>
          <w:szCs w:val="26"/>
        </w:rPr>
      </w:pPr>
      <w:r>
        <w:rPr>
          <w:rFonts w:ascii="宋体" w:hAnsi="宋体" w:eastAsia="宋体" w:cs="宋体"/>
          <w:b/>
          <w:bCs/>
          <w:spacing w:val="-25"/>
          <w:sz w:val="26"/>
          <w:szCs w:val="26"/>
        </w:rPr>
        <w:t>社会经济状况：</w:t>
      </w:r>
    </w:p>
    <w:p w14:paraId="5D7DF202">
      <w:pPr>
        <w:spacing w:before="176" w:line="219" w:lineRule="auto"/>
        <w:ind w:left="629"/>
        <w:rPr>
          <w:rFonts w:ascii="宋体" w:hAnsi="宋体" w:eastAsia="宋体" w:cs="宋体"/>
          <w:sz w:val="24"/>
          <w:szCs w:val="24"/>
        </w:rPr>
      </w:pPr>
      <w:r>
        <w:rPr>
          <w:rFonts w:ascii="宋体" w:hAnsi="宋体" w:eastAsia="宋体" w:cs="宋体"/>
          <w:spacing w:val="9"/>
          <w:sz w:val="24"/>
          <w:szCs w:val="24"/>
        </w:rPr>
        <w:t>(1)行政区划与人口数量</w:t>
      </w:r>
    </w:p>
    <w:p w14:paraId="0F92C4F3">
      <w:pPr>
        <w:spacing w:before="205" w:line="358" w:lineRule="auto"/>
        <w:ind w:right="74" w:firstLine="499"/>
        <w:rPr>
          <w:rFonts w:ascii="宋体" w:hAnsi="宋体" w:eastAsia="宋体" w:cs="宋体"/>
          <w:sz w:val="24"/>
          <w:szCs w:val="24"/>
        </w:rPr>
      </w:pPr>
      <w:r>
        <w:rPr>
          <w:rFonts w:ascii="宋体" w:hAnsi="宋体" w:eastAsia="宋体" w:cs="宋体"/>
          <w:spacing w:val="-2"/>
          <w:sz w:val="24"/>
          <w:szCs w:val="24"/>
        </w:rPr>
        <w:t>石拐是包头市的主要煤炭、陶瓷原料基地和重要的旅游景区，</w:t>
      </w:r>
      <w:r>
        <w:rPr>
          <w:rFonts w:ascii="宋体" w:hAnsi="宋体" w:eastAsia="宋体" w:cs="宋体"/>
          <w:spacing w:val="-3"/>
          <w:sz w:val="24"/>
          <w:szCs w:val="24"/>
        </w:rPr>
        <w:t>是包头市的煤</w:t>
      </w:r>
      <w:r>
        <w:rPr>
          <w:rFonts w:ascii="宋体" w:hAnsi="宋体" w:eastAsia="宋体" w:cs="宋体"/>
          <w:sz w:val="24"/>
          <w:szCs w:val="24"/>
        </w:rPr>
        <w:t xml:space="preserve"> </w:t>
      </w:r>
      <w:r>
        <w:rPr>
          <w:rFonts w:ascii="宋体" w:hAnsi="宋体" w:eastAsia="宋体" w:cs="宋体"/>
          <w:spacing w:val="-2"/>
          <w:sz w:val="24"/>
          <w:szCs w:val="24"/>
        </w:rPr>
        <w:t>炭生产基地和硬质粘土矿生产基地之一。石拐矿区现下辖一乡、一镇、五个街道</w:t>
      </w:r>
      <w:r>
        <w:rPr>
          <w:rFonts w:ascii="宋体" w:hAnsi="宋体" w:eastAsia="宋体" w:cs="宋体"/>
          <w:sz w:val="24"/>
          <w:szCs w:val="24"/>
        </w:rPr>
        <w:t xml:space="preserve"> </w:t>
      </w:r>
      <w:r>
        <w:rPr>
          <w:rFonts w:ascii="宋体" w:hAnsi="宋体" w:eastAsia="宋体" w:cs="宋体"/>
          <w:spacing w:val="2"/>
          <w:sz w:val="24"/>
          <w:szCs w:val="24"/>
        </w:rPr>
        <w:t>办事处。包头矿务局、包钢杂怀沟硬质粘土矿为驻区大企业。2006</w:t>
      </w:r>
      <w:r>
        <w:rPr>
          <w:rFonts w:ascii="宋体" w:hAnsi="宋体" w:eastAsia="宋体" w:cs="宋体"/>
          <w:spacing w:val="-21"/>
          <w:sz w:val="24"/>
          <w:szCs w:val="24"/>
        </w:rPr>
        <w:t xml:space="preserve"> </w:t>
      </w:r>
      <w:r>
        <w:rPr>
          <w:rFonts w:ascii="宋体" w:hAnsi="宋体" w:eastAsia="宋体" w:cs="宋体"/>
          <w:spacing w:val="2"/>
          <w:sz w:val="24"/>
          <w:szCs w:val="24"/>
        </w:rPr>
        <w:t>年开始，石</w:t>
      </w:r>
      <w:r>
        <w:rPr>
          <w:rFonts w:ascii="宋体" w:hAnsi="宋体" w:eastAsia="宋体" w:cs="宋体"/>
          <w:sz w:val="24"/>
          <w:szCs w:val="24"/>
        </w:rPr>
        <w:t xml:space="preserve"> </w:t>
      </w:r>
      <w:r>
        <w:rPr>
          <w:rFonts w:ascii="宋体" w:hAnsi="宋体" w:eastAsia="宋体" w:cs="宋体"/>
          <w:spacing w:val="1"/>
          <w:sz w:val="24"/>
          <w:szCs w:val="24"/>
        </w:rPr>
        <w:t>拐区相继实施了采煤沉陷区综合治理项目及中央下放煤矿棚户区改造项目(包括</w:t>
      </w:r>
      <w:r>
        <w:rPr>
          <w:rFonts w:ascii="宋体" w:hAnsi="宋体" w:eastAsia="宋体" w:cs="宋体"/>
          <w:spacing w:val="13"/>
          <w:sz w:val="24"/>
          <w:szCs w:val="24"/>
        </w:rPr>
        <w:t xml:space="preserve"> </w:t>
      </w:r>
      <w:r>
        <w:rPr>
          <w:rFonts w:ascii="宋体" w:hAnsi="宋体" w:eastAsia="宋体" w:cs="宋体"/>
          <w:spacing w:val="10"/>
          <w:sz w:val="24"/>
          <w:szCs w:val="24"/>
        </w:rPr>
        <w:t>万水泉安置区和普惠安置区两部分), 共</w:t>
      </w:r>
      <w:r>
        <w:rPr>
          <w:rFonts w:ascii="宋体" w:hAnsi="宋体" w:eastAsia="宋体" w:cs="宋体"/>
          <w:spacing w:val="9"/>
          <w:sz w:val="24"/>
          <w:szCs w:val="24"/>
        </w:rPr>
        <w:t>计投入资金43.87</w:t>
      </w:r>
      <w:r>
        <w:rPr>
          <w:rFonts w:ascii="宋体" w:hAnsi="宋体" w:eastAsia="宋体" w:cs="宋体"/>
          <w:spacing w:val="-24"/>
          <w:sz w:val="24"/>
          <w:szCs w:val="24"/>
        </w:rPr>
        <w:t xml:space="preserve"> </w:t>
      </w:r>
      <w:r>
        <w:rPr>
          <w:rFonts w:ascii="宋体" w:hAnsi="宋体" w:eastAsia="宋体" w:cs="宋体"/>
          <w:spacing w:val="9"/>
          <w:sz w:val="24"/>
          <w:szCs w:val="24"/>
        </w:rPr>
        <w:t>亿元(专项资金达</w:t>
      </w:r>
      <w:r>
        <w:rPr>
          <w:rFonts w:ascii="宋体" w:hAnsi="宋体" w:eastAsia="宋体" w:cs="宋体"/>
          <w:sz w:val="24"/>
          <w:szCs w:val="24"/>
        </w:rPr>
        <w:t xml:space="preserve"> </w:t>
      </w:r>
      <w:r>
        <w:rPr>
          <w:rFonts w:ascii="宋体" w:hAnsi="宋体" w:eastAsia="宋体" w:cs="宋体"/>
          <w:spacing w:val="4"/>
          <w:sz w:val="24"/>
          <w:szCs w:val="24"/>
        </w:rPr>
        <w:t>7.8亿元，其中：采煤沉陷区项目11245 万元，棚户区改造万水泉安置区62500</w:t>
      </w:r>
      <w:r>
        <w:rPr>
          <w:rFonts w:ascii="宋体" w:hAnsi="宋体" w:eastAsia="宋体" w:cs="宋体"/>
          <w:spacing w:val="7"/>
          <w:sz w:val="24"/>
          <w:szCs w:val="24"/>
        </w:rPr>
        <w:t xml:space="preserve"> </w:t>
      </w:r>
      <w:r>
        <w:rPr>
          <w:rFonts w:ascii="宋体" w:hAnsi="宋体" w:eastAsia="宋体" w:cs="宋体"/>
          <w:spacing w:val="18"/>
          <w:sz w:val="24"/>
          <w:szCs w:val="24"/>
        </w:rPr>
        <w:t>万元，普惠安置区4734 万元),规划安置总户数18360户</w:t>
      </w:r>
      <w:r>
        <w:rPr>
          <w:rFonts w:ascii="宋体" w:hAnsi="宋体" w:eastAsia="宋体" w:cs="宋体"/>
          <w:spacing w:val="17"/>
          <w:sz w:val="24"/>
          <w:szCs w:val="24"/>
        </w:rPr>
        <w:t>，安置人口5.6万</w:t>
      </w:r>
      <w:r>
        <w:rPr>
          <w:rFonts w:ascii="宋体" w:hAnsi="宋体" w:eastAsia="宋体" w:cs="宋体"/>
          <w:sz w:val="24"/>
          <w:szCs w:val="24"/>
        </w:rPr>
        <w:t xml:space="preserve"> </w:t>
      </w:r>
      <w:r>
        <w:rPr>
          <w:rFonts w:ascii="宋体" w:hAnsi="宋体" w:eastAsia="宋体" w:cs="宋体"/>
          <w:spacing w:val="7"/>
          <w:sz w:val="24"/>
          <w:szCs w:val="24"/>
        </w:rPr>
        <w:t>人。2008年，包头市行政区划调整，为石拐区新划入147平方公里土地，极大</w:t>
      </w:r>
      <w:r>
        <w:rPr>
          <w:rFonts w:ascii="宋体" w:hAnsi="宋体" w:eastAsia="宋体" w:cs="宋体"/>
          <w:spacing w:val="10"/>
          <w:sz w:val="24"/>
          <w:szCs w:val="24"/>
        </w:rPr>
        <w:t xml:space="preserve"> </w:t>
      </w:r>
      <w:r>
        <w:rPr>
          <w:rFonts w:ascii="宋体" w:hAnsi="宋体" w:eastAsia="宋体" w:cs="宋体"/>
          <w:spacing w:val="-1"/>
          <w:sz w:val="24"/>
          <w:szCs w:val="24"/>
        </w:rPr>
        <w:t>地拓展了石拐区的发展空间，赢得了发展机遇。</w:t>
      </w:r>
    </w:p>
    <w:p w14:paraId="269DF666">
      <w:pPr>
        <w:spacing w:before="8" w:line="346" w:lineRule="auto"/>
        <w:ind w:right="87" w:firstLine="499"/>
        <w:rPr>
          <w:rFonts w:ascii="宋体" w:hAnsi="宋体" w:eastAsia="宋体" w:cs="宋体"/>
          <w:sz w:val="25"/>
          <w:szCs w:val="25"/>
        </w:rPr>
      </w:pPr>
      <w:r>
        <w:rPr>
          <w:rFonts w:ascii="宋体" w:hAnsi="宋体" w:eastAsia="宋体" w:cs="宋体"/>
          <w:spacing w:val="-1"/>
          <w:sz w:val="25"/>
          <w:szCs w:val="25"/>
        </w:rPr>
        <w:t>石拐区总人口约3.9万人，由汉、蒙、回、藏、维、朝</w:t>
      </w:r>
      <w:r>
        <w:rPr>
          <w:rFonts w:ascii="宋体" w:hAnsi="宋体" w:eastAsia="宋体" w:cs="宋体"/>
          <w:spacing w:val="-2"/>
          <w:sz w:val="25"/>
          <w:szCs w:val="25"/>
        </w:rPr>
        <w:t>鲜、满、达斡尔、</w:t>
      </w:r>
      <w:r>
        <w:rPr>
          <w:rFonts w:ascii="宋体" w:hAnsi="宋体" w:eastAsia="宋体" w:cs="宋体"/>
          <w:sz w:val="25"/>
          <w:szCs w:val="25"/>
        </w:rPr>
        <w:t xml:space="preserve"> </w:t>
      </w:r>
      <w:r>
        <w:rPr>
          <w:rFonts w:ascii="宋体" w:hAnsi="宋体" w:eastAsia="宋体" w:cs="宋体"/>
          <w:spacing w:val="-1"/>
          <w:sz w:val="25"/>
          <w:szCs w:val="25"/>
        </w:rPr>
        <w:t>羌、锡伯等10个民族组成，全区总面积764</w:t>
      </w:r>
      <w:r>
        <w:rPr>
          <w:rFonts w:ascii="Times New Roman" w:hAnsi="Times New Roman" w:eastAsia="Times New Roman" w:cs="Times New Roman"/>
          <w:spacing w:val="-1"/>
          <w:sz w:val="25"/>
          <w:szCs w:val="25"/>
        </w:rPr>
        <w:t>k</w:t>
      </w:r>
      <w:r>
        <w:rPr>
          <w:rFonts w:ascii="Times New Roman" w:hAnsi="Times New Roman" w:eastAsia="Times New Roman" w:cs="Times New Roman"/>
          <w:spacing w:val="-2"/>
          <w:sz w:val="25"/>
          <w:szCs w:val="25"/>
        </w:rPr>
        <w:t>m²</w:t>
      </w:r>
      <w:r>
        <w:rPr>
          <w:rFonts w:ascii="宋体" w:hAnsi="宋体" w:eastAsia="宋体" w:cs="宋体"/>
          <w:spacing w:val="-2"/>
          <w:sz w:val="25"/>
          <w:szCs w:val="25"/>
        </w:rPr>
        <w:t>。紧邻110国道、2</w:t>
      </w:r>
      <w:r>
        <w:rPr>
          <w:rFonts w:ascii="宋体" w:hAnsi="宋体" w:eastAsia="宋体" w:cs="宋体"/>
          <w:color w:val="607070"/>
          <w:spacing w:val="-2"/>
          <w:sz w:val="25"/>
          <w:szCs w:val="25"/>
        </w:rPr>
        <w:t>10 国道和京</w:t>
      </w:r>
      <w:r>
        <w:rPr>
          <w:rFonts w:ascii="宋体" w:hAnsi="宋体" w:eastAsia="宋体" w:cs="宋体"/>
          <w:color w:val="607070"/>
          <w:sz w:val="25"/>
          <w:szCs w:val="25"/>
        </w:rPr>
        <w:t xml:space="preserve"> </w:t>
      </w:r>
      <w:r>
        <w:rPr>
          <w:rFonts w:ascii="宋体" w:hAnsi="宋体" w:eastAsia="宋体" w:cs="宋体"/>
          <w:spacing w:val="-10"/>
          <w:sz w:val="25"/>
          <w:szCs w:val="25"/>
        </w:rPr>
        <w:t>藏高速公路，43</w:t>
      </w:r>
      <w:r>
        <w:rPr>
          <w:rFonts w:ascii="Times New Roman" w:hAnsi="Times New Roman" w:eastAsia="Times New Roman" w:cs="Times New Roman"/>
          <w:spacing w:val="-10"/>
          <w:sz w:val="25"/>
          <w:szCs w:val="25"/>
        </w:rPr>
        <w:t>km</w:t>
      </w:r>
      <w:r>
        <w:rPr>
          <w:rFonts w:ascii="Times New Roman" w:hAnsi="Times New Roman" w:eastAsia="Times New Roman" w:cs="Times New Roman"/>
          <w:spacing w:val="47"/>
          <w:sz w:val="25"/>
          <w:szCs w:val="25"/>
        </w:rPr>
        <w:t xml:space="preserve"> </w:t>
      </w:r>
      <w:r>
        <w:rPr>
          <w:rFonts w:ascii="宋体" w:hAnsi="宋体" w:eastAsia="宋体" w:cs="宋体"/>
          <w:spacing w:val="-10"/>
          <w:sz w:val="25"/>
          <w:szCs w:val="25"/>
        </w:rPr>
        <w:t>的铁路专线与包头车站相连，交通十</w:t>
      </w:r>
      <w:r>
        <w:rPr>
          <w:rFonts w:ascii="宋体" w:hAnsi="宋体" w:eastAsia="宋体" w:cs="宋体"/>
          <w:spacing w:val="-11"/>
          <w:sz w:val="25"/>
          <w:szCs w:val="25"/>
        </w:rPr>
        <w:t>分便利。服务设施较齐</w:t>
      </w:r>
      <w:r>
        <w:rPr>
          <w:rFonts w:ascii="宋体" w:hAnsi="宋体" w:eastAsia="宋体" w:cs="宋体"/>
          <w:sz w:val="25"/>
          <w:szCs w:val="25"/>
        </w:rPr>
        <w:t xml:space="preserve"> </w:t>
      </w:r>
      <w:r>
        <w:rPr>
          <w:rFonts w:ascii="宋体" w:hAnsi="宋体" w:eastAsia="宋体" w:cs="宋体"/>
          <w:spacing w:val="-5"/>
          <w:sz w:val="25"/>
          <w:szCs w:val="25"/>
        </w:rPr>
        <w:t>全。</w:t>
      </w:r>
    </w:p>
    <w:p w14:paraId="0B10642C">
      <w:pPr>
        <w:spacing w:before="30" w:line="220" w:lineRule="auto"/>
        <w:ind w:left="629"/>
        <w:rPr>
          <w:rFonts w:ascii="宋体" w:hAnsi="宋体" w:eastAsia="宋体" w:cs="宋体"/>
          <w:sz w:val="23"/>
          <w:szCs w:val="23"/>
        </w:rPr>
      </w:pPr>
      <w:r>
        <w:rPr>
          <w:rFonts w:ascii="宋体" w:hAnsi="宋体" w:eastAsia="宋体" w:cs="宋体"/>
          <w:spacing w:val="2"/>
          <w:sz w:val="23"/>
          <w:szCs w:val="23"/>
        </w:rPr>
        <w:t>(2)</w:t>
      </w:r>
      <w:r>
        <w:rPr>
          <w:rFonts w:ascii="宋体" w:hAnsi="宋体" w:eastAsia="宋体" w:cs="宋体"/>
          <w:spacing w:val="44"/>
          <w:sz w:val="23"/>
          <w:szCs w:val="23"/>
        </w:rPr>
        <w:t xml:space="preserve"> </w:t>
      </w:r>
      <w:r>
        <w:rPr>
          <w:rFonts w:ascii="宋体" w:hAnsi="宋体" w:eastAsia="宋体" w:cs="宋体"/>
          <w:spacing w:val="2"/>
          <w:sz w:val="23"/>
          <w:szCs w:val="23"/>
        </w:rPr>
        <w:t>经济情况</w:t>
      </w:r>
    </w:p>
    <w:p w14:paraId="158A8E87">
      <w:pPr>
        <w:spacing w:before="187" w:line="357" w:lineRule="auto"/>
        <w:ind w:right="3" w:firstLine="499"/>
        <w:rPr>
          <w:rFonts w:ascii="宋体" w:hAnsi="宋体" w:eastAsia="宋体" w:cs="宋体"/>
          <w:sz w:val="24"/>
          <w:szCs w:val="24"/>
        </w:rPr>
      </w:pPr>
      <w:r>
        <w:rPr>
          <w:rFonts w:ascii="宋体" w:hAnsi="宋体" w:eastAsia="宋体" w:cs="宋体"/>
          <w:spacing w:val="-3"/>
          <w:sz w:val="24"/>
          <w:szCs w:val="24"/>
        </w:rPr>
        <w:t>石拐，素有“塞外煤城”之称，是自治区最早的工业区，是国家“一五”时</w:t>
      </w:r>
      <w:r>
        <w:rPr>
          <w:rFonts w:ascii="宋体" w:hAnsi="宋体" w:eastAsia="宋体" w:cs="宋体"/>
          <w:spacing w:val="11"/>
          <w:sz w:val="24"/>
          <w:szCs w:val="24"/>
        </w:rPr>
        <w:t xml:space="preserve"> </w:t>
      </w:r>
      <w:r>
        <w:rPr>
          <w:rFonts w:ascii="宋体" w:hAnsi="宋体" w:eastAsia="宋体" w:cs="宋体"/>
          <w:color w:val="607070"/>
          <w:spacing w:val="-2"/>
          <w:sz w:val="24"/>
          <w:szCs w:val="24"/>
        </w:rPr>
        <w:t>期重要的基础能源基地。</w:t>
      </w:r>
      <w:r>
        <w:rPr>
          <w:rFonts w:ascii="宋体" w:hAnsi="宋体" w:eastAsia="宋体" w:cs="宋体"/>
          <w:spacing w:val="-2"/>
          <w:sz w:val="24"/>
          <w:szCs w:val="24"/>
        </w:rPr>
        <w:t>历经半个多世纪大规模开采，煤炭资源日趋枯竭，</w:t>
      </w:r>
      <w:r>
        <w:rPr>
          <w:rFonts w:ascii="宋体" w:hAnsi="宋体" w:eastAsia="宋体" w:cs="宋体"/>
          <w:spacing w:val="-3"/>
          <w:sz w:val="24"/>
          <w:szCs w:val="24"/>
        </w:rPr>
        <w:t>一煤</w:t>
      </w:r>
      <w:r>
        <w:rPr>
          <w:rFonts w:ascii="宋体" w:hAnsi="宋体" w:eastAsia="宋体" w:cs="宋体"/>
          <w:sz w:val="24"/>
          <w:szCs w:val="24"/>
        </w:rPr>
        <w:t xml:space="preserve"> </w:t>
      </w:r>
      <w:r>
        <w:rPr>
          <w:rFonts w:ascii="宋体" w:hAnsi="宋体" w:eastAsia="宋体" w:cs="宋体"/>
          <w:spacing w:val="-6"/>
          <w:sz w:val="24"/>
          <w:szCs w:val="24"/>
        </w:rPr>
        <w:t>支撑的产业逐渐萎缩，经济和社会矛盾日益凸显。石拐区政府针对煤</w:t>
      </w:r>
      <w:r>
        <w:rPr>
          <w:rFonts w:ascii="宋体" w:hAnsi="宋体" w:eastAsia="宋体" w:cs="宋体"/>
          <w:spacing w:val="-7"/>
          <w:sz w:val="24"/>
          <w:szCs w:val="24"/>
        </w:rPr>
        <w:t>炭产业枯竭、</w:t>
      </w:r>
      <w:r>
        <w:rPr>
          <w:rFonts w:ascii="宋体" w:hAnsi="宋体" w:eastAsia="宋体" w:cs="宋体"/>
          <w:sz w:val="24"/>
          <w:szCs w:val="24"/>
        </w:rPr>
        <w:t xml:space="preserve"> </w:t>
      </w:r>
      <w:r>
        <w:rPr>
          <w:rFonts w:ascii="宋体" w:hAnsi="宋体" w:eastAsia="宋体" w:cs="宋体"/>
          <w:spacing w:val="9"/>
          <w:sz w:val="24"/>
          <w:szCs w:val="24"/>
        </w:rPr>
        <w:t>经济发展受到限制的情况，于2001年，开始了工业园区的筹建，2006年7月，</w:t>
      </w:r>
    </w:p>
    <w:p w14:paraId="50B335EA">
      <w:pPr>
        <w:spacing w:line="357" w:lineRule="auto"/>
        <w:rPr>
          <w:rFonts w:ascii="宋体" w:hAnsi="宋体" w:eastAsia="宋体" w:cs="宋体"/>
          <w:sz w:val="24"/>
          <w:szCs w:val="24"/>
        </w:rPr>
        <w:sectPr>
          <w:footerReference r:id="rId56" w:type="default"/>
          <w:pgSz w:w="11910" w:h="16850"/>
          <w:pgMar w:top="1360" w:right="1786" w:bottom="1545" w:left="1700" w:header="0" w:footer="1383" w:gutter="0"/>
          <w:cols w:space="720" w:num="1"/>
        </w:sectPr>
      </w:pPr>
    </w:p>
    <w:p w14:paraId="23D7332A">
      <w:pPr>
        <w:spacing w:before="154" w:line="219" w:lineRule="auto"/>
        <w:ind w:left="3"/>
        <w:rPr>
          <w:rFonts w:ascii="宋体" w:hAnsi="宋体" w:eastAsia="宋体" w:cs="宋体"/>
          <w:sz w:val="24"/>
          <w:szCs w:val="24"/>
        </w:rPr>
      </w:pPr>
      <w:r>
        <w:rPr>
          <w:rFonts w:ascii="宋体" w:hAnsi="宋体" w:eastAsia="宋体" w:cs="宋体"/>
          <w:b/>
          <w:bCs/>
          <w:spacing w:val="-12"/>
          <w:sz w:val="24"/>
          <w:szCs w:val="24"/>
        </w:rPr>
        <w:t>自然地理特征：</w:t>
      </w:r>
    </w:p>
    <w:p w14:paraId="3E456D31">
      <w:pPr>
        <w:spacing w:before="209" w:line="221" w:lineRule="auto"/>
        <w:ind w:left="599"/>
        <w:rPr>
          <w:rFonts w:ascii="宋体" w:hAnsi="宋体" w:eastAsia="宋体" w:cs="宋体"/>
          <w:sz w:val="23"/>
          <w:szCs w:val="23"/>
        </w:rPr>
      </w:pPr>
      <w:r>
        <w:rPr>
          <w:rFonts w:ascii="宋体" w:hAnsi="宋体" w:eastAsia="宋体" w:cs="宋体"/>
          <w:spacing w:val="-1"/>
          <w:sz w:val="23"/>
          <w:szCs w:val="23"/>
        </w:rPr>
        <w:t>(1)</w:t>
      </w:r>
      <w:r>
        <w:rPr>
          <w:rFonts w:ascii="宋体" w:hAnsi="宋体" w:eastAsia="宋体" w:cs="宋体"/>
          <w:spacing w:val="54"/>
          <w:sz w:val="23"/>
          <w:szCs w:val="23"/>
        </w:rPr>
        <w:t xml:space="preserve"> </w:t>
      </w:r>
      <w:r>
        <w:rPr>
          <w:rFonts w:ascii="宋体" w:hAnsi="宋体" w:eastAsia="宋体" w:cs="宋体"/>
          <w:spacing w:val="-1"/>
          <w:sz w:val="23"/>
          <w:szCs w:val="23"/>
        </w:rPr>
        <w:t>地理位置</w:t>
      </w:r>
    </w:p>
    <w:p w14:paraId="08FBADC0">
      <w:pPr>
        <w:spacing w:before="174" w:line="361" w:lineRule="auto"/>
        <w:ind w:right="158" w:firstLine="480"/>
        <w:rPr>
          <w:rFonts w:ascii="宋体" w:hAnsi="宋体" w:eastAsia="宋体" w:cs="宋体"/>
          <w:sz w:val="24"/>
          <w:szCs w:val="24"/>
        </w:rPr>
      </w:pPr>
      <w:r>
        <w:rPr>
          <w:rFonts w:ascii="宋体" w:hAnsi="宋体" w:eastAsia="宋体" w:cs="宋体"/>
          <w:spacing w:val="-2"/>
          <w:sz w:val="24"/>
          <w:szCs w:val="24"/>
        </w:rPr>
        <w:t>包头市位于内蒙古自治区中西部，南与鄂尔多斯市隔黄河相望，东</w:t>
      </w:r>
      <w:r>
        <w:rPr>
          <w:rFonts w:ascii="宋体" w:hAnsi="宋体" w:eastAsia="宋体" w:cs="宋体"/>
          <w:spacing w:val="-3"/>
          <w:sz w:val="24"/>
          <w:szCs w:val="24"/>
        </w:rPr>
        <w:t>西接沃野</w:t>
      </w:r>
      <w:r>
        <w:rPr>
          <w:rFonts w:ascii="宋体" w:hAnsi="宋体" w:eastAsia="宋体" w:cs="宋体"/>
          <w:sz w:val="24"/>
          <w:szCs w:val="24"/>
        </w:rPr>
        <w:t xml:space="preserve"> </w:t>
      </w:r>
      <w:r>
        <w:rPr>
          <w:rFonts w:ascii="宋体" w:hAnsi="宋体" w:eastAsia="宋体" w:cs="宋体"/>
          <w:spacing w:val="-1"/>
          <w:sz w:val="24"/>
          <w:szCs w:val="24"/>
        </w:rPr>
        <w:t>千里的土默特川平原和河套平原，阴山山脉横贯中部。</w:t>
      </w:r>
    </w:p>
    <w:p w14:paraId="754C4DBF">
      <w:pPr>
        <w:pStyle w:val="2"/>
        <w:spacing w:before="6" w:line="359" w:lineRule="auto"/>
        <w:ind w:right="138" w:firstLine="480"/>
        <w:rPr>
          <w:rFonts w:ascii="宋体" w:hAnsi="宋体" w:eastAsia="宋体" w:cs="宋体"/>
          <w:sz w:val="24"/>
          <w:szCs w:val="24"/>
        </w:rPr>
      </w:pPr>
      <w:r>
        <w:rPr>
          <w:rFonts w:ascii="宋体" w:hAnsi="宋体" w:eastAsia="宋体" w:cs="宋体"/>
          <w:spacing w:val="1"/>
          <w:sz w:val="24"/>
          <w:szCs w:val="24"/>
        </w:rPr>
        <w:t>石拐区位于包头市区东北方向，阴山南麓，大青山西南</w:t>
      </w:r>
      <w:r>
        <w:rPr>
          <w:rFonts w:ascii="宋体" w:hAnsi="宋体" w:eastAsia="宋体" w:cs="宋体"/>
          <w:sz w:val="24"/>
          <w:szCs w:val="24"/>
        </w:rPr>
        <w:t xml:space="preserve">山岳间，区域面积  </w:t>
      </w:r>
      <w:r>
        <w:rPr>
          <w:rFonts w:ascii="宋体" w:hAnsi="宋体" w:eastAsia="宋体" w:cs="宋体"/>
          <w:spacing w:val="2"/>
          <w:sz w:val="24"/>
          <w:szCs w:val="24"/>
        </w:rPr>
        <w:t>761平方公里，是内蒙古开发最早的煤炭矿区，也是包头市工业用煤和耐火</w:t>
      </w:r>
      <w:r>
        <w:rPr>
          <w:rFonts w:ascii="宋体" w:hAnsi="宋体" w:eastAsia="宋体" w:cs="宋体"/>
          <w:spacing w:val="1"/>
          <w:sz w:val="24"/>
          <w:szCs w:val="24"/>
        </w:rPr>
        <w:t>粘土</w:t>
      </w:r>
      <w:r>
        <w:rPr>
          <w:rFonts w:ascii="宋体" w:hAnsi="宋体" w:eastAsia="宋体" w:cs="宋体"/>
          <w:sz w:val="24"/>
          <w:szCs w:val="24"/>
        </w:rPr>
        <w:t xml:space="preserve"> </w:t>
      </w:r>
      <w:r>
        <w:rPr>
          <w:rFonts w:ascii="宋体" w:hAnsi="宋体" w:eastAsia="宋体" w:cs="宋体"/>
          <w:spacing w:val="-9"/>
          <w:sz w:val="24"/>
          <w:szCs w:val="24"/>
        </w:rPr>
        <w:t>的主要供应地，地理坐标为东经110°14′-110°28</w:t>
      </w:r>
      <w:r>
        <w:rPr>
          <w:rFonts w:ascii="宋体" w:hAnsi="宋体" w:eastAsia="宋体" w:cs="宋体"/>
          <w:spacing w:val="-10"/>
          <w:sz w:val="24"/>
          <w:szCs w:val="24"/>
        </w:rPr>
        <w:t>′</w:t>
      </w:r>
      <w:r>
        <w:rPr>
          <w:spacing w:val="-10"/>
          <w:sz w:val="24"/>
          <w:szCs w:val="24"/>
        </w:rPr>
        <w:t>,北纬40°37′-40°45′。石</w:t>
      </w:r>
      <w:r>
        <w:rPr>
          <w:sz w:val="24"/>
          <w:szCs w:val="24"/>
        </w:rPr>
        <w:t xml:space="preserve"> </w:t>
      </w:r>
      <w:r>
        <w:rPr>
          <w:rFonts w:ascii="宋体" w:hAnsi="宋体" w:eastAsia="宋体" w:cs="宋体"/>
          <w:spacing w:val="6"/>
          <w:sz w:val="24"/>
          <w:szCs w:val="24"/>
        </w:rPr>
        <w:t>拐新区作为石拐区规划建设的政治、经济、文化中心，规划面积14.64平方公</w:t>
      </w:r>
      <w:r>
        <w:rPr>
          <w:rFonts w:ascii="宋体" w:hAnsi="宋体" w:eastAsia="宋体" w:cs="宋体"/>
          <w:spacing w:val="16"/>
          <w:sz w:val="24"/>
          <w:szCs w:val="24"/>
        </w:rPr>
        <w:t xml:space="preserve"> </w:t>
      </w:r>
      <w:r>
        <w:rPr>
          <w:rFonts w:ascii="宋体" w:hAnsi="宋体" w:eastAsia="宋体" w:cs="宋体"/>
          <w:spacing w:val="-7"/>
          <w:sz w:val="24"/>
          <w:szCs w:val="24"/>
        </w:rPr>
        <w:t>里。</w:t>
      </w:r>
    </w:p>
    <w:p w14:paraId="646FA385">
      <w:pPr>
        <w:spacing w:line="218" w:lineRule="auto"/>
        <w:ind w:left="480"/>
        <w:rPr>
          <w:rFonts w:ascii="宋体" w:hAnsi="宋体" w:eastAsia="宋体" w:cs="宋体"/>
          <w:sz w:val="24"/>
          <w:szCs w:val="24"/>
        </w:rPr>
      </w:pPr>
      <w:r>
        <w:rPr>
          <w:rFonts w:ascii="宋体" w:hAnsi="宋体" w:eastAsia="宋体" w:cs="宋体"/>
          <w:sz w:val="24"/>
          <w:szCs w:val="24"/>
        </w:rPr>
        <w:t>石拐水源地1"井位于包头市石拐区大青山以南的五当沟中游的河岸边。</w:t>
      </w:r>
    </w:p>
    <w:p w14:paraId="426578BF">
      <w:pPr>
        <w:spacing w:before="195" w:line="219" w:lineRule="auto"/>
        <w:ind w:left="630"/>
        <w:rPr>
          <w:rFonts w:ascii="宋体" w:hAnsi="宋体" w:eastAsia="宋体" w:cs="宋体"/>
          <w:sz w:val="23"/>
          <w:szCs w:val="23"/>
        </w:rPr>
      </w:pPr>
      <w:r>
        <w:rPr>
          <w:rFonts w:ascii="宋体" w:hAnsi="宋体" w:eastAsia="宋体" w:cs="宋体"/>
          <w:spacing w:val="1"/>
          <w:sz w:val="23"/>
          <w:szCs w:val="23"/>
        </w:rPr>
        <w:t>(2)</w:t>
      </w:r>
      <w:r>
        <w:rPr>
          <w:rFonts w:ascii="宋体" w:hAnsi="宋体" w:eastAsia="宋体" w:cs="宋体"/>
          <w:spacing w:val="50"/>
          <w:sz w:val="23"/>
          <w:szCs w:val="23"/>
        </w:rPr>
        <w:t xml:space="preserve"> </w:t>
      </w:r>
      <w:r>
        <w:rPr>
          <w:rFonts w:ascii="宋体" w:hAnsi="宋体" w:eastAsia="宋体" w:cs="宋体"/>
          <w:spacing w:val="1"/>
          <w:sz w:val="23"/>
          <w:szCs w:val="23"/>
        </w:rPr>
        <w:t>地形地貌</w:t>
      </w:r>
    </w:p>
    <w:p w14:paraId="7E4B44C6">
      <w:pPr>
        <w:spacing w:before="180" w:line="357" w:lineRule="auto"/>
        <w:ind w:right="69" w:firstLine="480"/>
        <w:rPr>
          <w:rFonts w:ascii="宋体" w:hAnsi="宋体" w:eastAsia="宋体" w:cs="宋体"/>
          <w:sz w:val="24"/>
          <w:szCs w:val="24"/>
        </w:rPr>
      </w:pPr>
      <w:r>
        <w:rPr>
          <w:rFonts w:ascii="宋体" w:hAnsi="宋体" w:eastAsia="宋体" w:cs="宋体"/>
          <w:spacing w:val="-3"/>
          <w:sz w:val="24"/>
          <w:szCs w:val="24"/>
        </w:rPr>
        <w:t>石拐区地处大青山西段，</w:t>
      </w:r>
      <w:r>
        <w:rPr>
          <w:rFonts w:ascii="宋体" w:hAnsi="宋体" w:eastAsia="宋体" w:cs="宋体"/>
          <w:color w:val="606070"/>
          <w:spacing w:val="-3"/>
          <w:sz w:val="24"/>
          <w:szCs w:val="24"/>
        </w:rPr>
        <w:t>地貌上为中低山丘陵山地，南北两侧是以太古界片</w:t>
      </w:r>
      <w:r>
        <w:rPr>
          <w:rFonts w:ascii="宋体" w:hAnsi="宋体" w:eastAsia="宋体" w:cs="宋体"/>
          <w:color w:val="606070"/>
          <w:spacing w:val="8"/>
          <w:sz w:val="24"/>
          <w:szCs w:val="24"/>
        </w:rPr>
        <w:t xml:space="preserve">  </w:t>
      </w:r>
      <w:r>
        <w:rPr>
          <w:rFonts w:ascii="宋体" w:hAnsi="宋体" w:eastAsia="宋体" w:cs="宋体"/>
          <w:spacing w:val="-3"/>
          <w:sz w:val="24"/>
          <w:szCs w:val="24"/>
        </w:rPr>
        <w:t>麻岩为主的中山地带，区内地势北缓南陡，地域狭长。境内最高山峰海拔1856</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5"/>
          <w:sz w:val="24"/>
          <w:szCs w:val="24"/>
        </w:rPr>
        <w:t xml:space="preserve">   </w:t>
      </w:r>
      <w:r>
        <w:rPr>
          <w:rFonts w:ascii="宋体" w:hAnsi="宋体" w:eastAsia="宋体" w:cs="宋体"/>
          <w:spacing w:val="2"/>
          <w:sz w:val="24"/>
          <w:szCs w:val="24"/>
        </w:rPr>
        <w:t>最低点1150</w:t>
      </w:r>
      <w:r>
        <w:rPr>
          <w:rFonts w:ascii="Times New Roman" w:hAnsi="Times New Roman" w:eastAsia="Times New Roman" w:cs="Times New Roman"/>
          <w:spacing w:val="2"/>
          <w:sz w:val="24"/>
          <w:szCs w:val="24"/>
        </w:rPr>
        <w:t>m</w:t>
      </w:r>
      <w:r>
        <w:rPr>
          <w:rFonts w:ascii="宋体" w:hAnsi="宋体" w:eastAsia="宋体" w:cs="宋体"/>
          <w:spacing w:val="2"/>
          <w:sz w:val="24"/>
          <w:szCs w:val="24"/>
        </w:rPr>
        <w:t>。山脉走向多为东西向，河沟多为南北穿越。根据形态分布特</w:t>
      </w:r>
      <w:r>
        <w:rPr>
          <w:rFonts w:ascii="宋体" w:hAnsi="宋体" w:eastAsia="宋体" w:cs="宋体"/>
          <w:spacing w:val="1"/>
          <w:sz w:val="24"/>
          <w:szCs w:val="24"/>
        </w:rPr>
        <w:t>征，</w:t>
      </w:r>
      <w:r>
        <w:rPr>
          <w:rFonts w:ascii="宋体" w:hAnsi="宋体" w:eastAsia="宋体" w:cs="宋体"/>
          <w:sz w:val="24"/>
          <w:szCs w:val="24"/>
        </w:rPr>
        <w:t xml:space="preserve"> </w:t>
      </w:r>
      <w:r>
        <w:rPr>
          <w:rFonts w:ascii="宋体" w:hAnsi="宋体" w:eastAsia="宋体" w:cs="宋体"/>
          <w:spacing w:val="-1"/>
          <w:sz w:val="24"/>
          <w:szCs w:val="24"/>
        </w:rPr>
        <w:t>可分为中山、低山丘陵和河谷、阶地。</w:t>
      </w:r>
    </w:p>
    <w:p w14:paraId="08E3BE0B">
      <w:pPr>
        <w:spacing w:before="13" w:line="219" w:lineRule="auto"/>
        <w:ind w:left="650"/>
        <w:rPr>
          <w:rFonts w:ascii="宋体" w:hAnsi="宋体" w:eastAsia="宋体" w:cs="宋体"/>
          <w:sz w:val="24"/>
          <w:szCs w:val="24"/>
        </w:rPr>
      </w:pPr>
      <w:r>
        <w:rPr>
          <w:rFonts w:ascii="宋体" w:hAnsi="宋体" w:eastAsia="宋体" w:cs="宋体"/>
          <w:spacing w:val="7"/>
          <w:sz w:val="24"/>
          <w:szCs w:val="24"/>
        </w:rPr>
        <w:t>(3)流域自然状况及水文地质特征</w:t>
      </w:r>
    </w:p>
    <w:p w14:paraId="0BDA58F3">
      <w:pPr>
        <w:spacing w:before="207" w:line="351" w:lineRule="auto"/>
        <w:ind w:right="109" w:firstLine="480"/>
        <w:rPr>
          <w:rFonts w:ascii="宋体" w:hAnsi="宋体" w:eastAsia="宋体" w:cs="宋体"/>
          <w:sz w:val="24"/>
          <w:szCs w:val="24"/>
        </w:rPr>
      </w:pPr>
      <w:r>
        <w:rPr>
          <w:rFonts w:ascii="宋体" w:hAnsi="宋体" w:eastAsia="宋体" w:cs="宋体"/>
          <w:spacing w:val="-3"/>
          <w:sz w:val="24"/>
          <w:szCs w:val="24"/>
        </w:rPr>
        <w:t>石拐区的河流水系可分为地表水和地下水两部分，地表水和地下水都受降雨</w:t>
      </w:r>
      <w:r>
        <w:rPr>
          <w:rFonts w:ascii="宋体" w:hAnsi="宋体" w:eastAsia="宋体" w:cs="宋体"/>
          <w:spacing w:val="16"/>
          <w:sz w:val="24"/>
          <w:szCs w:val="24"/>
        </w:rPr>
        <w:t xml:space="preserve"> </w:t>
      </w:r>
      <w:r>
        <w:rPr>
          <w:rFonts w:ascii="宋体" w:hAnsi="宋体" w:eastAsia="宋体" w:cs="宋体"/>
          <w:spacing w:val="-1"/>
          <w:sz w:val="24"/>
          <w:szCs w:val="24"/>
        </w:rPr>
        <w:t>量影响极不平衡。石拐区内地表水系发育均属于外流水系，主要河沟有五当沟，</w:t>
      </w:r>
      <w:r>
        <w:rPr>
          <w:rFonts w:ascii="宋体" w:hAnsi="宋体" w:eastAsia="宋体" w:cs="宋体"/>
          <w:spacing w:val="13"/>
          <w:sz w:val="24"/>
          <w:szCs w:val="24"/>
        </w:rPr>
        <w:t xml:space="preserve"> </w:t>
      </w:r>
      <w:r>
        <w:rPr>
          <w:rFonts w:ascii="宋体" w:hAnsi="宋体" w:eastAsia="宋体" w:cs="宋体"/>
          <w:spacing w:val="1"/>
          <w:sz w:val="24"/>
          <w:szCs w:val="24"/>
        </w:rPr>
        <w:t>属黄河左岸一级支流。五当沟主沟全长约78</w:t>
      </w:r>
      <w:r>
        <w:rPr>
          <w:rFonts w:ascii="Times New Roman" w:hAnsi="Times New Roman" w:eastAsia="Times New Roman" w:cs="Times New Roman"/>
          <w:sz w:val="24"/>
          <w:szCs w:val="24"/>
        </w:rPr>
        <w:t>km</w:t>
      </w:r>
      <w:r>
        <w:rPr>
          <w:rFonts w:ascii="Times New Roman" w:hAnsi="Times New Roman" w:eastAsia="Times New Roman" w:cs="Times New Roman"/>
          <w:spacing w:val="1"/>
          <w:sz w:val="24"/>
          <w:szCs w:val="24"/>
        </w:rPr>
        <w:t>,</w:t>
      </w:r>
      <w:r>
        <w:rPr>
          <w:rFonts w:ascii="Times New Roman" w:hAnsi="Times New Roman" w:eastAsia="Times New Roman" w:cs="Times New Roman"/>
          <w:spacing w:val="51"/>
          <w:sz w:val="24"/>
          <w:szCs w:val="24"/>
        </w:rPr>
        <w:t xml:space="preserve"> </w:t>
      </w:r>
      <w:r>
        <w:rPr>
          <w:rFonts w:ascii="宋体" w:hAnsi="宋体" w:eastAsia="宋体" w:cs="宋体"/>
          <w:spacing w:val="1"/>
          <w:sz w:val="24"/>
          <w:szCs w:val="24"/>
        </w:rPr>
        <w:t>发源于固阳县新建乡头道井，</w:t>
      </w:r>
    </w:p>
    <w:p w14:paraId="318DF1E6">
      <w:pPr>
        <w:pStyle w:val="2"/>
        <w:spacing w:before="12" w:line="356" w:lineRule="auto"/>
        <w:ind w:right="160"/>
        <w:rPr>
          <w:rFonts w:ascii="宋体" w:hAnsi="宋体" w:eastAsia="宋体" w:cs="宋体"/>
          <w:sz w:val="24"/>
          <w:szCs w:val="24"/>
        </w:rPr>
      </w:pPr>
      <w:r>
        <w:rPr>
          <w:rFonts w:ascii="宋体" w:hAnsi="宋体" w:eastAsia="宋体" w:cs="宋体"/>
          <w:spacing w:val="1"/>
          <w:sz w:val="24"/>
          <w:szCs w:val="24"/>
        </w:rPr>
        <w:t>最高洪峰1470</w:t>
      </w:r>
      <w:r>
        <w:rPr>
          <w:rFonts w:ascii="Times New Roman" w:hAnsi="Times New Roman" w:eastAsia="Times New Roman" w:cs="Times New Roman"/>
          <w:spacing w:val="1"/>
          <w:sz w:val="24"/>
          <w:szCs w:val="24"/>
        </w:rPr>
        <w:t xml:space="preserve">m³/s,  </w:t>
      </w:r>
      <w:r>
        <w:rPr>
          <w:rFonts w:ascii="宋体" w:hAnsi="宋体" w:eastAsia="宋体" w:cs="宋体"/>
          <w:spacing w:val="1"/>
          <w:sz w:val="24"/>
          <w:szCs w:val="24"/>
        </w:rPr>
        <w:t>主沟全年有水，但流量因受气候和支沟农田灌溉影响极不均</w:t>
      </w:r>
      <w:r>
        <w:rPr>
          <w:rFonts w:ascii="宋体" w:hAnsi="宋体" w:eastAsia="宋体" w:cs="宋体"/>
          <w:spacing w:val="8"/>
          <w:sz w:val="24"/>
          <w:szCs w:val="24"/>
        </w:rPr>
        <w:t xml:space="preserve"> </w:t>
      </w:r>
      <w:r>
        <w:rPr>
          <w:rFonts w:ascii="宋体" w:hAnsi="宋体" w:eastAsia="宋体" w:cs="宋体"/>
          <w:spacing w:val="-2"/>
          <w:sz w:val="24"/>
          <w:szCs w:val="24"/>
        </w:rPr>
        <w:t>匀，较大的支沟有石拐子西沟、召沟、后五当沟和白狐沟。石拐</w:t>
      </w:r>
      <w:r>
        <w:rPr>
          <w:rFonts w:ascii="宋体" w:hAnsi="宋体" w:eastAsia="宋体" w:cs="宋体"/>
          <w:spacing w:val="-3"/>
          <w:sz w:val="24"/>
          <w:szCs w:val="24"/>
        </w:rPr>
        <w:t>子西沟发源于固</w:t>
      </w:r>
      <w:r>
        <w:rPr>
          <w:rFonts w:ascii="宋体" w:hAnsi="宋体" w:eastAsia="宋体" w:cs="宋体"/>
          <w:sz w:val="24"/>
          <w:szCs w:val="24"/>
        </w:rPr>
        <w:t xml:space="preserve"> </w:t>
      </w:r>
      <w:r>
        <w:rPr>
          <w:rFonts w:ascii="宋体" w:hAnsi="宋体" w:eastAsia="宋体" w:cs="宋体"/>
          <w:spacing w:val="5"/>
          <w:sz w:val="24"/>
          <w:szCs w:val="24"/>
        </w:rPr>
        <w:t>阳县忽鸡乡，到旧石拐与五当沟主沟汇合，全长约10</w:t>
      </w:r>
      <w:r>
        <w:rPr>
          <w:rFonts w:ascii="Times New Roman" w:hAnsi="Times New Roman" w:eastAsia="Times New Roman" w:cs="Times New Roman"/>
          <w:sz w:val="24"/>
          <w:szCs w:val="24"/>
        </w:rPr>
        <w:t>km</w:t>
      </w:r>
      <w:r>
        <w:rPr>
          <w:rFonts w:ascii="Times New Roman" w:hAnsi="Times New Roman" w:eastAsia="Times New Roman" w:cs="Times New Roman"/>
          <w:spacing w:val="5"/>
          <w:sz w:val="24"/>
          <w:szCs w:val="24"/>
        </w:rPr>
        <w:t>,</w:t>
      </w:r>
      <w:r>
        <w:rPr>
          <w:rFonts w:ascii="宋体" w:hAnsi="宋体" w:eastAsia="宋体" w:cs="宋体"/>
          <w:spacing w:val="5"/>
          <w:sz w:val="24"/>
          <w:szCs w:val="24"/>
        </w:rPr>
        <w:t>为季</w:t>
      </w:r>
      <w:r>
        <w:rPr>
          <w:rFonts w:ascii="宋体" w:hAnsi="宋体" w:eastAsia="宋体" w:cs="宋体"/>
          <w:spacing w:val="4"/>
          <w:sz w:val="24"/>
          <w:szCs w:val="24"/>
        </w:rPr>
        <w:t>节性河流，最大</w:t>
      </w:r>
      <w:r>
        <w:rPr>
          <w:rFonts w:ascii="宋体" w:hAnsi="宋体" w:eastAsia="宋体" w:cs="宋体"/>
          <w:sz w:val="24"/>
          <w:szCs w:val="24"/>
        </w:rPr>
        <w:t xml:space="preserve">  </w:t>
      </w:r>
      <w:r>
        <w:rPr>
          <w:rFonts w:ascii="宋体" w:hAnsi="宋体" w:eastAsia="宋体" w:cs="宋体"/>
          <w:spacing w:val="2"/>
          <w:sz w:val="24"/>
          <w:szCs w:val="24"/>
        </w:rPr>
        <w:t>洪峰量约900</w:t>
      </w:r>
      <w:r>
        <w:rPr>
          <w:rFonts w:ascii="Times New Roman" w:hAnsi="Times New Roman" w:eastAsia="Times New Roman" w:cs="Times New Roman"/>
          <w:spacing w:val="2"/>
          <w:sz w:val="24"/>
          <w:szCs w:val="24"/>
        </w:rPr>
        <w:t xml:space="preserve">m³/s,   </w:t>
      </w:r>
      <w:r>
        <w:rPr>
          <w:rFonts w:ascii="宋体" w:hAnsi="宋体" w:eastAsia="宋体" w:cs="宋体"/>
          <w:spacing w:val="2"/>
          <w:sz w:val="24"/>
          <w:szCs w:val="24"/>
        </w:rPr>
        <w:t>一般为干沟。召沟发源于五当召</w:t>
      </w:r>
      <w:r>
        <w:rPr>
          <w:rFonts w:ascii="宋体" w:hAnsi="宋体" w:eastAsia="宋体" w:cs="宋体"/>
          <w:spacing w:val="1"/>
          <w:sz w:val="24"/>
          <w:szCs w:val="24"/>
        </w:rPr>
        <w:t>镇，由五当召沟、白菜沟、</w:t>
      </w:r>
      <w:r>
        <w:rPr>
          <w:rFonts w:ascii="宋体" w:hAnsi="宋体" w:eastAsia="宋体" w:cs="宋体"/>
          <w:sz w:val="24"/>
          <w:szCs w:val="24"/>
        </w:rPr>
        <w:t xml:space="preserve"> </w:t>
      </w:r>
      <w:r>
        <w:rPr>
          <w:rFonts w:ascii="宋体" w:hAnsi="宋体" w:eastAsia="宋体" w:cs="宋体"/>
          <w:spacing w:val="1"/>
          <w:sz w:val="24"/>
          <w:szCs w:val="24"/>
        </w:rPr>
        <w:t>厂汉沟汇合而成。召沟在水磨滩和五当沟主沟汇合，全长约31</w:t>
      </w:r>
      <w:r>
        <w:rPr>
          <w:rFonts w:ascii="Times New Roman" w:hAnsi="Times New Roman" w:eastAsia="Times New Roman" w:cs="Times New Roman"/>
          <w:sz w:val="24"/>
          <w:szCs w:val="24"/>
        </w:rPr>
        <w:t>km</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 </w:t>
      </w:r>
      <w:r>
        <w:rPr>
          <w:rFonts w:ascii="宋体" w:hAnsi="宋体" w:eastAsia="宋体" w:cs="宋体"/>
          <w:sz w:val="24"/>
          <w:szCs w:val="24"/>
        </w:rPr>
        <w:t xml:space="preserve">最大洪峰流  </w:t>
      </w:r>
      <w:r>
        <w:rPr>
          <w:spacing w:val="7"/>
          <w:sz w:val="24"/>
          <w:szCs w:val="24"/>
        </w:rPr>
        <w:t>量1200</w:t>
      </w:r>
      <w:r>
        <w:rPr>
          <w:rFonts w:ascii="Times New Roman" w:hAnsi="Times New Roman" w:eastAsia="Times New Roman" w:cs="Times New Roman"/>
          <w:spacing w:val="7"/>
          <w:sz w:val="24"/>
          <w:szCs w:val="24"/>
        </w:rPr>
        <w:t>m³/s,</w:t>
      </w:r>
      <w:r>
        <w:rPr>
          <w:rFonts w:ascii="Times New Roman" w:hAnsi="Times New Roman" w:eastAsia="Times New Roman" w:cs="Times New Roman"/>
          <w:spacing w:val="22"/>
          <w:sz w:val="24"/>
          <w:szCs w:val="24"/>
        </w:rPr>
        <w:t xml:space="preserve">  </w:t>
      </w:r>
      <w:r>
        <w:rPr>
          <w:rFonts w:ascii="宋体" w:hAnsi="宋体" w:eastAsia="宋体" w:cs="宋体"/>
          <w:spacing w:val="7"/>
          <w:sz w:val="24"/>
          <w:szCs w:val="24"/>
        </w:rPr>
        <w:t>沟内70年代以前长年有</w:t>
      </w:r>
      <w:r>
        <w:rPr>
          <w:rFonts w:ascii="宋体" w:hAnsi="宋体" w:eastAsia="宋体" w:cs="宋体"/>
          <w:spacing w:val="6"/>
          <w:sz w:val="24"/>
          <w:szCs w:val="24"/>
        </w:rPr>
        <w:t>水，但水量不大，现一般为干沟。</w:t>
      </w:r>
    </w:p>
    <w:p w14:paraId="515CB81F">
      <w:pPr>
        <w:spacing w:before="30" w:line="349" w:lineRule="auto"/>
        <w:ind w:right="115" w:firstLine="550"/>
        <w:rPr>
          <w:rFonts w:ascii="宋体" w:hAnsi="宋体" w:eastAsia="宋体" w:cs="宋体"/>
          <w:sz w:val="24"/>
          <w:szCs w:val="24"/>
        </w:rPr>
      </w:pPr>
      <w:r>
        <w:rPr>
          <w:rFonts w:ascii="宋体" w:hAnsi="宋体" w:eastAsia="宋体" w:cs="宋体"/>
          <w:spacing w:val="-3"/>
          <w:sz w:val="24"/>
          <w:szCs w:val="24"/>
        </w:rPr>
        <w:t>后五当沟发源于五当召镇，向西流至头道沟从左侧汇入五当沟。全沟西圪旦</w:t>
      </w:r>
      <w:r>
        <w:rPr>
          <w:rFonts w:ascii="宋体" w:hAnsi="宋体" w:eastAsia="宋体" w:cs="宋体"/>
          <w:spacing w:val="2"/>
          <w:sz w:val="24"/>
          <w:szCs w:val="24"/>
        </w:rPr>
        <w:t xml:space="preserve"> </w:t>
      </w:r>
      <w:r>
        <w:rPr>
          <w:rFonts w:ascii="宋体" w:hAnsi="宋体" w:eastAsia="宋体" w:cs="宋体"/>
          <w:spacing w:val="5"/>
          <w:sz w:val="24"/>
          <w:szCs w:val="24"/>
        </w:rPr>
        <w:t>以上为干沟，以下有缓流，全长约9</w:t>
      </w:r>
      <w:r>
        <w:rPr>
          <w:rFonts w:ascii="Times New Roman" w:hAnsi="Times New Roman" w:eastAsia="Times New Roman" w:cs="Times New Roman"/>
          <w:sz w:val="24"/>
          <w:szCs w:val="24"/>
        </w:rPr>
        <w:t>km</w:t>
      </w:r>
      <w:r>
        <w:rPr>
          <w:rFonts w:ascii="Times New Roman" w:hAnsi="Times New Roman" w:eastAsia="Times New Roman" w:cs="Times New Roman"/>
          <w:spacing w:val="5"/>
          <w:sz w:val="24"/>
          <w:szCs w:val="24"/>
        </w:rPr>
        <w:t>,</w:t>
      </w:r>
      <w:r>
        <w:rPr>
          <w:rFonts w:ascii="Times New Roman" w:hAnsi="Times New Roman" w:eastAsia="Times New Roman" w:cs="Times New Roman"/>
          <w:spacing w:val="47"/>
          <w:sz w:val="24"/>
          <w:szCs w:val="24"/>
        </w:rPr>
        <w:t xml:space="preserve"> </w:t>
      </w:r>
      <w:r>
        <w:rPr>
          <w:rFonts w:ascii="宋体" w:hAnsi="宋体" w:eastAsia="宋体" w:cs="宋体"/>
          <w:color w:val="606070"/>
          <w:spacing w:val="5"/>
          <w:sz w:val="24"/>
          <w:szCs w:val="24"/>
        </w:rPr>
        <w:t>最大洪峰流量500</w:t>
      </w:r>
      <w:r>
        <w:rPr>
          <w:rFonts w:ascii="宋体" w:hAnsi="宋体" w:eastAsia="宋体" w:cs="宋体"/>
          <w:color w:val="606070"/>
          <w:spacing w:val="-53"/>
          <w:sz w:val="24"/>
          <w:szCs w:val="24"/>
        </w:rPr>
        <w:t xml:space="preserve"> </w:t>
      </w:r>
      <w:r>
        <w:rPr>
          <w:rFonts w:ascii="Times New Roman" w:hAnsi="Times New Roman" w:eastAsia="Times New Roman" w:cs="Times New Roman"/>
          <w:color w:val="606070"/>
          <w:spacing w:val="5"/>
          <w:sz w:val="24"/>
          <w:szCs w:val="24"/>
        </w:rPr>
        <w:t>m³/s</w:t>
      </w:r>
      <w:r>
        <w:rPr>
          <w:rFonts w:ascii="宋体" w:hAnsi="宋体" w:eastAsia="宋体" w:cs="宋体"/>
          <w:color w:val="606070"/>
          <w:spacing w:val="5"/>
          <w:sz w:val="24"/>
          <w:szCs w:val="24"/>
        </w:rPr>
        <w:t>。</w:t>
      </w:r>
    </w:p>
    <w:p w14:paraId="2826E2E6">
      <w:pPr>
        <w:spacing w:before="16" w:line="350" w:lineRule="auto"/>
        <w:ind w:right="187" w:firstLine="480"/>
        <w:rPr>
          <w:rFonts w:ascii="宋体" w:hAnsi="宋体" w:eastAsia="宋体" w:cs="宋体"/>
          <w:sz w:val="24"/>
          <w:szCs w:val="24"/>
        </w:rPr>
      </w:pPr>
      <w:r>
        <w:rPr>
          <w:rFonts w:ascii="宋体" w:hAnsi="宋体" w:eastAsia="宋体" w:cs="宋体"/>
          <w:spacing w:val="1"/>
          <w:sz w:val="24"/>
          <w:szCs w:val="24"/>
        </w:rPr>
        <w:t>白狐沟下游是河滩沟，在立甲子注入五当沟，全长约7</w:t>
      </w:r>
      <w:r>
        <w:rPr>
          <w:rFonts w:ascii="Times New Roman" w:hAnsi="Times New Roman" w:eastAsia="Times New Roman" w:cs="Times New Roman"/>
          <w:sz w:val="24"/>
          <w:szCs w:val="24"/>
        </w:rPr>
        <w:t>km</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1"/>
          <w:w w:val="101"/>
          <w:sz w:val="24"/>
          <w:szCs w:val="24"/>
        </w:rPr>
        <w:t xml:space="preserve"> </w:t>
      </w:r>
      <w:r>
        <w:rPr>
          <w:rFonts w:ascii="宋体" w:hAnsi="宋体" w:eastAsia="宋体" w:cs="宋体"/>
          <w:spacing w:val="1"/>
          <w:sz w:val="24"/>
          <w:szCs w:val="24"/>
        </w:rPr>
        <w:t>最大洪峰流量约</w:t>
      </w:r>
      <w:r>
        <w:rPr>
          <w:rFonts w:ascii="宋体" w:hAnsi="宋体" w:eastAsia="宋体" w:cs="宋体"/>
          <w:sz w:val="24"/>
          <w:szCs w:val="24"/>
        </w:rPr>
        <w:t xml:space="preserve"> </w:t>
      </w:r>
      <w:r>
        <w:rPr>
          <w:rFonts w:ascii="宋体" w:hAnsi="宋体" w:eastAsia="宋体" w:cs="宋体"/>
          <w:spacing w:val="4"/>
          <w:sz w:val="24"/>
          <w:szCs w:val="24"/>
        </w:rPr>
        <w:t>700</w:t>
      </w:r>
      <w:r>
        <w:rPr>
          <w:rFonts w:ascii="Times New Roman" w:hAnsi="Times New Roman" w:eastAsia="Times New Roman" w:cs="Times New Roman"/>
          <w:spacing w:val="4"/>
          <w:sz w:val="24"/>
          <w:szCs w:val="24"/>
        </w:rPr>
        <w:t>m³/s,</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为季节性河沟。</w:t>
      </w:r>
    </w:p>
    <w:p w14:paraId="50F28154">
      <w:pPr>
        <w:spacing w:line="350" w:lineRule="auto"/>
        <w:rPr>
          <w:rFonts w:ascii="宋体" w:hAnsi="宋体" w:eastAsia="宋体" w:cs="宋体"/>
          <w:sz w:val="24"/>
          <w:szCs w:val="24"/>
        </w:rPr>
        <w:sectPr>
          <w:footerReference r:id="rId57" w:type="default"/>
          <w:pgSz w:w="12070" w:h="16960"/>
          <w:pgMar w:top="1441" w:right="1810" w:bottom="1465" w:left="1769" w:header="0" w:footer="1303" w:gutter="0"/>
          <w:cols w:space="720" w:num="1"/>
        </w:sectPr>
      </w:pPr>
    </w:p>
    <w:p w14:paraId="796E88C9">
      <w:pPr>
        <w:spacing w:before="18"/>
      </w:pPr>
      <w:r>
        <w:drawing>
          <wp:anchor distT="0" distB="0" distL="0" distR="0" simplePos="0" relativeHeight="251676672" behindDoc="0" locked="0" layoutInCell="0" allowOverlap="1">
            <wp:simplePos x="0" y="0"/>
            <wp:positionH relativeFrom="page">
              <wp:posOffset>1308100</wp:posOffset>
            </wp:positionH>
            <wp:positionV relativeFrom="page">
              <wp:posOffset>6051550</wp:posOffset>
            </wp:positionV>
            <wp:extent cx="8553450" cy="12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4"/>
                    <a:stretch>
                      <a:fillRect/>
                    </a:stretch>
                  </pic:blipFill>
                  <pic:spPr>
                    <a:xfrm>
                      <a:off x="0" y="0"/>
                      <a:ext cx="8553381" cy="12705"/>
                    </a:xfrm>
                    <a:prstGeom prst="rect">
                      <a:avLst/>
                    </a:prstGeom>
                  </pic:spPr>
                </pic:pic>
              </a:graphicData>
            </a:graphic>
          </wp:anchor>
        </w:drawing>
      </w:r>
    </w:p>
    <w:p w14:paraId="5597BC29">
      <w:pPr>
        <w:spacing w:before="18"/>
      </w:pPr>
    </w:p>
    <w:p w14:paraId="4CF4D86E">
      <w:pPr>
        <w:spacing w:before="18"/>
      </w:pPr>
    </w:p>
    <w:p w14:paraId="0531083D">
      <w:pPr>
        <w:spacing w:before="17"/>
      </w:pPr>
    </w:p>
    <w:tbl>
      <w:tblPr>
        <w:tblStyle w:val="5"/>
        <w:tblW w:w="13452" w:type="dxa"/>
        <w:tblInd w:w="3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505"/>
        <w:gridCol w:w="3947"/>
      </w:tblGrid>
      <w:tr w14:paraId="487EFE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5" w:hRule="atLeast"/>
        </w:trPr>
        <w:tc>
          <w:tcPr>
            <w:tcW w:w="13452" w:type="dxa"/>
            <w:gridSpan w:val="2"/>
            <w:tcBorders>
              <w:top w:val="single" w:color="000000" w:sz="8" w:space="0"/>
              <w:left w:val="single" w:color="000000" w:sz="2" w:space="0"/>
              <w:right w:val="single" w:color="000000" w:sz="4" w:space="0"/>
            </w:tcBorders>
            <w:vAlign w:val="top"/>
          </w:tcPr>
          <w:p w14:paraId="0A039E5D">
            <w:pPr>
              <w:pStyle w:val="6"/>
              <w:spacing w:before="198" w:line="219" w:lineRule="auto"/>
              <w:ind w:left="3404"/>
              <w:rPr>
                <w:sz w:val="44"/>
                <w:szCs w:val="44"/>
              </w:rPr>
            </w:pPr>
            <w:r>
              <w:rPr>
                <w:spacing w:val="74"/>
                <w:sz w:val="44"/>
                <w:szCs w:val="44"/>
              </w:rPr>
              <w:t>包头市石拐水源保护区划分图</w:t>
            </w:r>
          </w:p>
        </w:tc>
      </w:tr>
      <w:tr w14:paraId="2172E2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05" w:hRule="atLeast"/>
        </w:trPr>
        <w:tc>
          <w:tcPr>
            <w:tcW w:w="9505" w:type="dxa"/>
            <w:tcBorders>
              <w:left w:val="single" w:color="000000" w:sz="2" w:space="0"/>
            </w:tcBorders>
            <w:textDirection w:val="tbRlV"/>
            <w:vAlign w:val="top"/>
          </w:tcPr>
          <w:p w14:paraId="2A40C5E2">
            <w:pPr>
              <w:pStyle w:val="6"/>
              <w:spacing w:before="156" w:line="202" w:lineRule="auto"/>
              <w:ind w:left="1448"/>
              <w:rPr>
                <w:sz w:val="23"/>
                <w:szCs w:val="23"/>
              </w:rPr>
            </w:pPr>
            <w:r>
              <w:drawing>
                <wp:anchor distT="0" distB="0" distL="0" distR="0" simplePos="0" relativeHeight="251682816" behindDoc="0" locked="0" layoutInCell="1" allowOverlap="1">
                  <wp:simplePos x="0" y="0"/>
                  <wp:positionH relativeFrom="column">
                    <wp:posOffset>-5877560</wp:posOffset>
                  </wp:positionH>
                  <wp:positionV relativeFrom="paragraph">
                    <wp:posOffset>98425</wp:posOffset>
                  </wp:positionV>
                  <wp:extent cx="5689600" cy="40449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5"/>
                          <a:stretch>
                            <a:fillRect/>
                          </a:stretch>
                        </pic:blipFill>
                        <pic:spPr>
                          <a:xfrm>
                            <a:off x="0" y="0"/>
                            <a:ext cx="5689591" cy="4044990"/>
                          </a:xfrm>
                          <a:prstGeom prst="rect">
                            <a:avLst/>
                          </a:prstGeom>
                        </pic:spPr>
                      </pic:pic>
                    </a:graphicData>
                  </a:graphic>
                </wp:anchor>
              </w:drawing>
            </w:r>
            <w:r>
              <w:pict>
                <v:shape id="_x0000_s1039" o:spid="_x0000_s1039" o:spt="202" type="#_x0000_t202" style="position:absolute;left:0pt;margin-left:-17pt;margin-top:304.3pt;height:21.7pt;width:10.75pt;z-index:251679744;mso-width-relative:page;mso-height-relative:page;" filled="f" stroked="f" coordsize="21600,21600">
                  <v:path/>
                  <v:fill on="f" focussize="0,0"/>
                  <v:stroke on="f"/>
                  <v:imagedata o:title=""/>
                  <o:lock v:ext="edit" aspectratio="f"/>
                  <v:textbox inset="0mm,0mm,0mm,0mm" style="layout-flow:vertical-ideographic;">
                    <w:txbxContent>
                      <w:p w14:paraId="25AD7A63">
                        <w:pPr>
                          <w:pStyle w:val="6"/>
                          <w:spacing w:before="19" w:line="196" w:lineRule="auto"/>
                          <w:ind w:left="20"/>
                          <w:rPr>
                            <w:sz w:val="16"/>
                            <w:szCs w:val="16"/>
                          </w:rPr>
                        </w:pPr>
                        <w:r>
                          <w:rPr>
                            <w:sz w:val="16"/>
                            <w:szCs w:val="16"/>
                          </w:rPr>
                          <w:t>间</w:t>
                        </w:r>
                        <w:r>
                          <w:rPr>
                            <w:spacing w:val="-7"/>
                            <w:sz w:val="16"/>
                            <w:szCs w:val="16"/>
                          </w:rPr>
                          <w:t xml:space="preserve"> </w:t>
                        </w:r>
                        <w:r>
                          <w:rPr>
                            <w:sz w:val="16"/>
                            <w:szCs w:val="16"/>
                          </w:rPr>
                          <w:t>学</w:t>
                        </w:r>
                      </w:p>
                    </w:txbxContent>
                  </v:textbox>
                </v:shape>
              </w:pict>
            </w:r>
            <w:r>
              <mc:AlternateContent>
                <mc:Choice Requires="wps">
                  <w:drawing>
                    <wp:anchor distT="0" distB="0" distL="0" distR="0" simplePos="0" relativeHeight="251677696" behindDoc="0" locked="0" layoutInCell="1" allowOverlap="1">
                      <wp:simplePos x="0" y="0"/>
                      <wp:positionH relativeFrom="rightMargin">
                        <wp:posOffset>-5940425</wp:posOffset>
                      </wp:positionH>
                      <wp:positionV relativeFrom="topMargin">
                        <wp:posOffset>240030</wp:posOffset>
                      </wp:positionV>
                      <wp:extent cx="182245" cy="575310"/>
                      <wp:effectExtent l="0" t="0" r="0" b="0"/>
                      <wp:wrapNone/>
                      <wp:docPr id="18" name="TextBox 18"/>
                      <wp:cNvGraphicFramePr/>
                      <a:graphic xmlns:a="http://schemas.openxmlformats.org/drawingml/2006/main">
                        <a:graphicData uri="http://schemas.microsoft.com/office/word/2010/wordprocessingShape">
                          <wps:wsp>
                            <wps:cNvSpPr txBox="1"/>
                            <wps:spPr>
                              <a:xfrm rot="16200000">
                                <a:off x="-5940439" y="240444"/>
                                <a:ext cx="182245" cy="57530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4F436D">
                                  <w:pPr>
                                    <w:pStyle w:val="6"/>
                                    <w:spacing w:before="183"/>
                                    <w:jc w:val="right"/>
                                    <w:rPr>
                                      <w:sz w:val="54"/>
                                      <w:szCs w:val="54"/>
                                    </w:rPr>
                                  </w:pPr>
                                  <w:r>
                                    <w:rPr>
                                      <w:spacing w:val="-20"/>
                                      <w:w w:val="98"/>
                                      <w:sz w:val="54"/>
                                      <w:szCs w:val="54"/>
                                    </w:rPr>
                                    <w:t>a</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7.5pt;margin-top:18.9pt;height:45.3pt;width:14.35pt;mso-position-horizontal-relative:page;mso-position-vertical-relative:page;rotation:-5898240f;z-index:251677696;mso-width-relative:page;mso-height-relative:page;" filled="f" stroked="f" coordsize="21600,21600" o:gfxdata="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m4HTdsAAAAMAQAA&#10;DwAAAAAAAAABACAAAAAiAAAAZHJzL2Rvd25yZXYueG1sUEsBAhQAFAAAAAgAh07iQCwBsVhPAgAA&#10;owQAAA4AAAAAAAAAAQAgAAAAKgEAAGRycy9lMm9Eb2MueG1sUEsFBgAAAAAGAAYAWQEAAOsFAAAA&#10;AA==&#10;">
                      <v:fill on="f" focussize="0,0"/>
                      <v:stroke on="f" weight="0pt" miterlimit="0" joinstyle="miter"/>
                      <v:imagedata o:title=""/>
                      <o:lock v:ext="edit" aspectratio="f"/>
                      <v:textbox inset="0mm,0mm,0mm,0mm">
                        <w:txbxContent>
                          <w:p w14:paraId="584F436D">
                            <w:pPr>
                              <w:pStyle w:val="6"/>
                              <w:spacing w:before="183"/>
                              <w:jc w:val="right"/>
                              <w:rPr>
                                <w:sz w:val="54"/>
                                <w:szCs w:val="54"/>
                              </w:rPr>
                            </w:pPr>
                            <w:r>
                              <w:rPr>
                                <w:spacing w:val="-20"/>
                                <w:w w:val="98"/>
                                <w:sz w:val="54"/>
                                <w:szCs w:val="54"/>
                              </w:rPr>
                              <w:t>a</w:t>
                            </w:r>
                          </w:p>
                        </w:txbxContent>
                      </v:textbox>
                    </v:shape>
                  </w:pict>
                </mc:Fallback>
              </mc:AlternateContent>
            </w:r>
            <w:r>
              <mc:AlternateContent>
                <mc:Choice Requires="wps">
                  <w:drawing>
                    <wp:anchor distT="0" distB="0" distL="0" distR="0" simplePos="0" relativeHeight="251678720" behindDoc="0" locked="0" layoutInCell="1" allowOverlap="1">
                      <wp:simplePos x="0" y="0"/>
                      <wp:positionH relativeFrom="rightMargin">
                        <wp:posOffset>-234315</wp:posOffset>
                      </wp:positionH>
                      <wp:positionV relativeFrom="topMargin">
                        <wp:posOffset>416560</wp:posOffset>
                      </wp:positionV>
                      <wp:extent cx="212725" cy="115570"/>
                      <wp:effectExtent l="0" t="0" r="0" b="0"/>
                      <wp:wrapNone/>
                      <wp:docPr id="20" name="TextBox 20"/>
                      <wp:cNvGraphicFramePr/>
                      <a:graphic xmlns:a="http://schemas.openxmlformats.org/drawingml/2006/main">
                        <a:graphicData uri="http://schemas.microsoft.com/office/word/2010/wordprocessingShape">
                          <wps:wsp>
                            <wps:cNvSpPr txBox="1"/>
                            <wps:spPr>
                              <a:xfrm rot="16200000">
                                <a:off x="-234316" y="417100"/>
                                <a:ext cx="212725" cy="1155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E054EB">
                                  <w:pPr>
                                    <w:pStyle w:val="6"/>
                                    <w:spacing w:before="40" w:line="223" w:lineRule="auto"/>
                                    <w:ind w:left="20"/>
                                    <w:rPr>
                                      <w:sz w:val="10"/>
                                      <w:szCs w:val="10"/>
                                    </w:rPr>
                                  </w:pPr>
                                  <w:r>
                                    <w:rPr>
                                      <w:spacing w:val="-3"/>
                                      <w:sz w:val="10"/>
                                      <w:szCs w:val="10"/>
                                    </w:rPr>
                                    <w:t>可</w:t>
                                  </w:r>
                                  <w:r>
                                    <w:rPr>
                                      <w:spacing w:val="2"/>
                                      <w:sz w:val="10"/>
                                      <w:szCs w:val="10"/>
                                    </w:rPr>
                                    <w:t xml:space="preserve">  </w:t>
                                  </w:r>
                                  <w:r>
                                    <w:rPr>
                                      <w:spacing w:val="-3"/>
                                      <w:sz w:val="10"/>
                                      <w:szCs w:val="10"/>
                                    </w:rPr>
                                    <w:t>土</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 o:spid="_x0000_s1026" o:spt="202" type="#_x0000_t202" style="position:absolute;left:0pt;margin-left:456.8pt;margin-top:32.8pt;height:9.1pt;width:16.75pt;mso-position-horizontal-relative:page;mso-position-vertical-relative:page;rotation:-5898240f;z-index:251678720;mso-width-relative:page;mso-height-relative:page;" filled="f" stroked="f" coordsize="21600,21600" o:gfxdata="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QEDqNgAAAAIAQAADwAA&#10;AAAAAAABACAAAAAiAAAAZHJzL2Rvd25yZXYueG1sUEsBAhQAFAAAAAgAh07iQIinfKJPAgAAogQA&#10;AA4AAAAAAAAAAQAgAAAAJwEAAGRycy9lMm9Eb2MueG1sUEsFBgAAAAAGAAYAWQEAAOgFAAAAAA==&#10;">
                      <v:fill on="f" focussize="0,0"/>
                      <v:stroke on="f" weight="0pt" miterlimit="0" joinstyle="miter"/>
                      <v:imagedata o:title=""/>
                      <o:lock v:ext="edit" aspectratio="f"/>
                      <v:textbox inset="0mm,0mm,0mm,0mm">
                        <w:txbxContent>
                          <w:p w14:paraId="7EE054EB">
                            <w:pPr>
                              <w:pStyle w:val="6"/>
                              <w:spacing w:before="40" w:line="223" w:lineRule="auto"/>
                              <w:ind w:left="20"/>
                              <w:rPr>
                                <w:sz w:val="10"/>
                                <w:szCs w:val="10"/>
                              </w:rPr>
                            </w:pPr>
                            <w:r>
                              <w:rPr>
                                <w:spacing w:val="-3"/>
                                <w:sz w:val="10"/>
                                <w:szCs w:val="10"/>
                              </w:rPr>
                              <w:t>可</w:t>
                            </w:r>
                            <w:r>
                              <w:rPr>
                                <w:spacing w:val="2"/>
                                <w:sz w:val="10"/>
                                <w:szCs w:val="10"/>
                              </w:rPr>
                              <w:t xml:space="preserve">  </w:t>
                            </w:r>
                            <w:r>
                              <w:rPr>
                                <w:spacing w:val="-3"/>
                                <w:sz w:val="10"/>
                                <w:szCs w:val="10"/>
                              </w:rPr>
                              <w:t>土</w:t>
                            </w:r>
                          </w:p>
                        </w:txbxContent>
                      </v:textbox>
                    </v:shape>
                  </w:pict>
                </mc:Fallback>
              </mc:AlternateContent>
            </w:r>
            <w:r>
              <mc:AlternateContent>
                <mc:Choice Requires="wps">
                  <w:drawing>
                    <wp:anchor distT="0" distB="0" distL="0" distR="0" simplePos="0" relativeHeight="251675648" behindDoc="0" locked="0" layoutInCell="1" allowOverlap="1">
                      <wp:simplePos x="0" y="0"/>
                      <wp:positionH relativeFrom="rightMargin">
                        <wp:posOffset>-958215</wp:posOffset>
                      </wp:positionH>
                      <wp:positionV relativeFrom="topMargin">
                        <wp:posOffset>2536825</wp:posOffset>
                      </wp:positionV>
                      <wp:extent cx="1642745" cy="168910"/>
                      <wp:effectExtent l="0" t="0" r="0" b="0"/>
                      <wp:wrapNone/>
                      <wp:docPr id="22" name="TextBox 22"/>
                      <wp:cNvGraphicFramePr/>
                      <a:graphic xmlns:a="http://schemas.openxmlformats.org/drawingml/2006/main">
                        <a:graphicData uri="http://schemas.microsoft.com/office/word/2010/wordprocessingShape">
                          <wps:wsp>
                            <wps:cNvSpPr txBox="1"/>
                            <wps:spPr>
                              <a:xfrm rot="5400000">
                                <a:off x="-958671" y="2537262"/>
                                <a:ext cx="1642745" cy="16891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BF7A2B">
                                  <w:pPr>
                                    <w:pStyle w:val="6"/>
                                    <w:spacing w:before="52" w:line="222" w:lineRule="auto"/>
                                    <w:ind w:left="20"/>
                                    <w:rPr>
                                      <w:sz w:val="10"/>
                                      <w:szCs w:val="10"/>
                                    </w:rPr>
                                  </w:pPr>
                                  <w:r>
                                    <w:rPr>
                                      <w:spacing w:val="-15"/>
                                      <w:w w:val="71"/>
                                      <w:sz w:val="16"/>
                                      <w:szCs w:val="16"/>
                                    </w:rPr>
                                    <w:t>注，和</w:t>
                                  </w:r>
                                  <w:r>
                                    <w:rPr>
                                      <w:spacing w:val="2"/>
                                      <w:sz w:val="16"/>
                                      <w:szCs w:val="16"/>
                                    </w:rPr>
                                    <w:t xml:space="preserve">                   </w:t>
                                  </w:r>
                                  <w:r>
                                    <w:rPr>
                                      <w:spacing w:val="1"/>
                                      <w:sz w:val="16"/>
                                      <w:szCs w:val="16"/>
                                    </w:rPr>
                                    <w:t xml:space="preserve">     </w:t>
                                  </w:r>
                                  <w:r>
                                    <w:rPr>
                                      <w:spacing w:val="-2"/>
                                      <w:sz w:val="10"/>
                                      <w:szCs w:val="10"/>
                                    </w:rPr>
                                    <w:t>书  营</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399.8pt;margin-top:199.75pt;height:13.3pt;width:129.35pt;mso-position-horizontal-relative:page;mso-position-vertical-relative:page;rotation:5898240f;z-index:251675648;mso-width-relative:page;mso-height-relative:page;" filled="f" stroked="f" coordsize="21600,21600" o:gfxdata="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kkqDdoAAAAM&#10;AQAADwAAAAAAAAABACAAAAAiAAAAZHJzL2Rvd25yZXYueG1sUEsBAhQAFAAAAAgAh07iQKR9P/JT&#10;AgAAowQAAA4AAAAAAAAAAQAgAAAAKQEAAGRycy9lMm9Eb2MueG1sUEsFBgAAAAAGAAYAWQEAAO4F&#10;AAAAAA==&#10;">
                      <v:fill on="f" focussize="0,0"/>
                      <v:stroke on="f" weight="0pt" miterlimit="0" joinstyle="miter"/>
                      <v:imagedata o:title=""/>
                      <o:lock v:ext="edit" aspectratio="f"/>
                      <v:textbox inset="0mm,0mm,0mm,0mm">
                        <w:txbxContent>
                          <w:p w14:paraId="1DBF7A2B">
                            <w:pPr>
                              <w:pStyle w:val="6"/>
                              <w:spacing w:before="52" w:line="222" w:lineRule="auto"/>
                              <w:ind w:left="20"/>
                              <w:rPr>
                                <w:sz w:val="10"/>
                                <w:szCs w:val="10"/>
                              </w:rPr>
                            </w:pPr>
                            <w:r>
                              <w:rPr>
                                <w:spacing w:val="-15"/>
                                <w:w w:val="71"/>
                                <w:sz w:val="16"/>
                                <w:szCs w:val="16"/>
                              </w:rPr>
                              <w:t>注，和</w:t>
                            </w:r>
                            <w:r>
                              <w:rPr>
                                <w:spacing w:val="2"/>
                                <w:sz w:val="16"/>
                                <w:szCs w:val="16"/>
                              </w:rPr>
                              <w:t xml:space="preserve">                   </w:t>
                            </w:r>
                            <w:r>
                              <w:rPr>
                                <w:spacing w:val="1"/>
                                <w:sz w:val="16"/>
                                <w:szCs w:val="16"/>
                              </w:rPr>
                              <w:t xml:space="preserve">     </w:t>
                            </w:r>
                            <w:r>
                              <w:rPr>
                                <w:spacing w:val="-2"/>
                                <w:sz w:val="10"/>
                                <w:szCs w:val="10"/>
                              </w:rPr>
                              <w:t>书  营</w:t>
                            </w:r>
                          </w:p>
                        </w:txbxContent>
                      </v:textbox>
                    </v:shape>
                  </w:pict>
                </mc:Fallback>
              </mc:AlternateContent>
            </w:r>
            <w:r>
              <w:pict>
                <v:shape id="_x0000_s1040" o:spid="_x0000_s1040" o:spt="202" type="#_x0000_t202" style="position:absolute;left:0pt;margin-left:286.9pt;margin-top:3.85pt;height:8.35pt;width:73.8pt;mso-position-horizontal-relative:page;mso-position-vertical-relative:page;z-index:251681792;mso-width-relative:page;mso-height-relative:page;" filled="f" stroked="f" coordsize="21600,21600">
                  <v:path/>
                  <v:fill on="f" focussize="0,0"/>
                  <v:stroke on="f"/>
                  <v:imagedata o:title=""/>
                  <o:lock v:ext="edit" aspectratio="f"/>
                  <v:textbox inset="0mm,0mm,0mm,0mm">
                    <w:txbxContent>
                      <w:p w14:paraId="51F8235A">
                        <w:pPr>
                          <w:spacing w:before="20" w:line="18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2"/>
                            <w:sz w:val="14"/>
                            <w:szCs w:val="14"/>
                          </w:rPr>
                          <w:t>110°1raK</w:t>
                        </w:r>
                        <w:r>
                          <w:rPr>
                            <w:rFonts w:ascii="Times New Roman" w:hAnsi="Times New Roman" w:eastAsia="Times New Roman" w:cs="Times New Roman"/>
                            <w:spacing w:val="1"/>
                            <w:sz w:val="14"/>
                            <w:szCs w:val="14"/>
                          </w:rPr>
                          <w:t xml:space="preserve">                </w:t>
                        </w:r>
                        <w:r>
                          <w:rPr>
                            <w:rFonts w:ascii="Times New Roman" w:hAnsi="Times New Roman" w:eastAsia="Times New Roman" w:cs="Times New Roman"/>
                            <w:spacing w:val="-2"/>
                            <w:sz w:val="13"/>
                            <w:szCs w:val="13"/>
                          </w:rPr>
                          <w:t>a⁰°3°h</w:t>
                        </w:r>
                      </w:p>
                    </w:txbxContent>
                  </v:textbox>
                </v:shape>
              </w:pict>
            </w:r>
            <w:r>
              <w:pict>
                <v:shape id="_x0000_s1041" o:spid="_x0000_s1041" o:spt="202" type="#_x0000_t202" style="position:absolute;left:0pt;margin-left:64.4pt;margin-top:325.95pt;height:12.9pt;width:17.1pt;mso-position-horizontal-relative:page;mso-position-vertical-relative:page;z-index:251680768;mso-width-relative:page;mso-height-relative:page;" filled="f" stroked="f" coordsize="21600,21600">
                  <v:path/>
                  <v:fill on="f" focussize="0,0"/>
                  <v:stroke on="f"/>
                  <v:imagedata o:title=""/>
                  <o:lock v:ext="edit" aspectratio="f"/>
                  <v:textbox inset="0mm,0mm,0mm,0mm">
                    <w:txbxContent>
                      <w:p w14:paraId="5B21E526">
                        <w:pPr>
                          <w:spacing w:before="19" w:line="189" w:lineRule="auto"/>
                          <w:ind w:left="20"/>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irn</w:t>
                        </w:r>
                      </w:p>
                    </w:txbxContent>
                  </v:textbox>
                </v:shape>
              </w:pict>
            </w:r>
            <w:r>
              <w:rPr>
                <w:sz w:val="23"/>
                <w:szCs w:val="23"/>
              </w:rPr>
              <w:t>计</w:t>
            </w:r>
            <w:r>
              <w:rPr>
                <w:spacing w:val="67"/>
                <w:sz w:val="23"/>
                <w:szCs w:val="23"/>
              </w:rPr>
              <w:t xml:space="preserve"> </w:t>
            </w:r>
            <w:r>
              <w:rPr>
                <w:sz w:val="23"/>
                <w:szCs w:val="23"/>
              </w:rPr>
              <w:t>指</w:t>
            </w:r>
          </w:p>
          <w:p w14:paraId="35BC44B0">
            <w:pPr>
              <w:spacing w:line="243" w:lineRule="auto"/>
              <w:rPr>
                <w:rFonts w:ascii="Arial"/>
                <w:sz w:val="21"/>
              </w:rPr>
            </w:pPr>
          </w:p>
          <w:p w14:paraId="1AFA0D0B">
            <w:pPr>
              <w:spacing w:line="243" w:lineRule="auto"/>
              <w:rPr>
                <w:rFonts w:ascii="Arial"/>
                <w:sz w:val="21"/>
              </w:rPr>
            </w:pPr>
          </w:p>
          <w:p w14:paraId="2FFCAFB6">
            <w:pPr>
              <w:spacing w:line="243" w:lineRule="auto"/>
              <w:rPr>
                <w:rFonts w:ascii="Arial"/>
                <w:sz w:val="21"/>
              </w:rPr>
            </w:pPr>
          </w:p>
          <w:p w14:paraId="205C5884">
            <w:pPr>
              <w:spacing w:line="243" w:lineRule="auto"/>
              <w:rPr>
                <w:rFonts w:ascii="Arial"/>
                <w:sz w:val="21"/>
              </w:rPr>
            </w:pPr>
          </w:p>
          <w:p w14:paraId="6A301C88">
            <w:pPr>
              <w:spacing w:line="244" w:lineRule="auto"/>
              <w:rPr>
                <w:rFonts w:ascii="Arial"/>
                <w:sz w:val="21"/>
              </w:rPr>
            </w:pPr>
          </w:p>
          <w:p w14:paraId="7E12E890">
            <w:pPr>
              <w:spacing w:line="244" w:lineRule="auto"/>
              <w:rPr>
                <w:rFonts w:ascii="Arial"/>
                <w:sz w:val="21"/>
              </w:rPr>
            </w:pPr>
          </w:p>
          <w:p w14:paraId="35FE2199">
            <w:pPr>
              <w:spacing w:line="244" w:lineRule="auto"/>
              <w:rPr>
                <w:rFonts w:ascii="Arial"/>
                <w:sz w:val="21"/>
              </w:rPr>
            </w:pPr>
          </w:p>
          <w:p w14:paraId="77A887A3">
            <w:pPr>
              <w:spacing w:line="244" w:lineRule="auto"/>
              <w:rPr>
                <w:rFonts w:ascii="Arial"/>
                <w:sz w:val="21"/>
              </w:rPr>
            </w:pPr>
          </w:p>
          <w:p w14:paraId="6A4FD894">
            <w:pPr>
              <w:spacing w:line="244" w:lineRule="auto"/>
              <w:rPr>
                <w:rFonts w:ascii="Arial"/>
                <w:sz w:val="21"/>
              </w:rPr>
            </w:pPr>
          </w:p>
          <w:p w14:paraId="7A06457E">
            <w:pPr>
              <w:spacing w:line="244" w:lineRule="auto"/>
              <w:rPr>
                <w:rFonts w:ascii="Arial"/>
                <w:sz w:val="21"/>
              </w:rPr>
            </w:pPr>
          </w:p>
          <w:p w14:paraId="31EB7126">
            <w:pPr>
              <w:spacing w:line="244" w:lineRule="auto"/>
              <w:rPr>
                <w:rFonts w:ascii="Arial"/>
                <w:sz w:val="21"/>
              </w:rPr>
            </w:pPr>
          </w:p>
          <w:p w14:paraId="08258391">
            <w:pPr>
              <w:spacing w:line="244" w:lineRule="auto"/>
              <w:rPr>
                <w:rFonts w:ascii="Arial"/>
                <w:sz w:val="21"/>
              </w:rPr>
            </w:pPr>
          </w:p>
          <w:p w14:paraId="2B473DCF">
            <w:pPr>
              <w:spacing w:line="244" w:lineRule="auto"/>
              <w:rPr>
                <w:rFonts w:ascii="Arial"/>
                <w:sz w:val="21"/>
              </w:rPr>
            </w:pPr>
          </w:p>
          <w:p w14:paraId="6B00EEE5">
            <w:pPr>
              <w:spacing w:line="244" w:lineRule="auto"/>
              <w:rPr>
                <w:rFonts w:ascii="Arial"/>
                <w:sz w:val="21"/>
              </w:rPr>
            </w:pPr>
          </w:p>
          <w:p w14:paraId="7E9ED55E">
            <w:pPr>
              <w:spacing w:line="244" w:lineRule="auto"/>
              <w:rPr>
                <w:rFonts w:ascii="Arial"/>
                <w:sz w:val="21"/>
              </w:rPr>
            </w:pPr>
          </w:p>
          <w:p w14:paraId="7D734C9C">
            <w:pPr>
              <w:spacing w:line="244" w:lineRule="auto"/>
              <w:rPr>
                <w:rFonts w:ascii="Arial"/>
                <w:sz w:val="21"/>
              </w:rPr>
            </w:pPr>
          </w:p>
          <w:p w14:paraId="3E71265E">
            <w:pPr>
              <w:spacing w:line="244" w:lineRule="auto"/>
              <w:rPr>
                <w:rFonts w:ascii="Arial"/>
                <w:sz w:val="21"/>
              </w:rPr>
            </w:pPr>
          </w:p>
          <w:p w14:paraId="5E37193D">
            <w:pPr>
              <w:spacing w:line="244" w:lineRule="auto"/>
              <w:rPr>
                <w:rFonts w:ascii="Arial"/>
                <w:sz w:val="21"/>
              </w:rPr>
            </w:pPr>
          </w:p>
          <w:p w14:paraId="13B0339C">
            <w:pPr>
              <w:spacing w:line="244" w:lineRule="auto"/>
              <w:rPr>
                <w:rFonts w:ascii="Arial"/>
                <w:sz w:val="21"/>
              </w:rPr>
            </w:pPr>
          </w:p>
          <w:p w14:paraId="53ED4F11">
            <w:pPr>
              <w:spacing w:line="244" w:lineRule="auto"/>
              <w:rPr>
                <w:rFonts w:ascii="Arial"/>
                <w:sz w:val="21"/>
              </w:rPr>
            </w:pPr>
          </w:p>
          <w:p w14:paraId="586AB10C">
            <w:pPr>
              <w:spacing w:line="244" w:lineRule="auto"/>
              <w:rPr>
                <w:rFonts w:ascii="Arial"/>
                <w:sz w:val="21"/>
              </w:rPr>
            </w:pPr>
          </w:p>
          <w:p w14:paraId="0505F1DD">
            <w:pPr>
              <w:spacing w:line="244" w:lineRule="auto"/>
              <w:rPr>
                <w:rFonts w:ascii="Arial"/>
                <w:sz w:val="21"/>
              </w:rPr>
            </w:pPr>
          </w:p>
          <w:p w14:paraId="0D684483">
            <w:pPr>
              <w:spacing w:line="244" w:lineRule="auto"/>
              <w:rPr>
                <w:rFonts w:ascii="Arial"/>
                <w:sz w:val="21"/>
              </w:rPr>
            </w:pPr>
          </w:p>
          <w:p w14:paraId="47FB450E">
            <w:pPr>
              <w:spacing w:line="244" w:lineRule="auto"/>
              <w:rPr>
                <w:rFonts w:ascii="Arial"/>
                <w:sz w:val="21"/>
              </w:rPr>
            </w:pPr>
          </w:p>
          <w:p w14:paraId="34F016BF">
            <w:pPr>
              <w:spacing w:line="244" w:lineRule="auto"/>
              <w:rPr>
                <w:rFonts w:ascii="Arial"/>
                <w:sz w:val="21"/>
              </w:rPr>
            </w:pPr>
          </w:p>
          <w:p w14:paraId="46F78457">
            <w:pPr>
              <w:spacing w:line="244" w:lineRule="auto"/>
              <w:rPr>
                <w:rFonts w:ascii="Arial"/>
                <w:sz w:val="21"/>
              </w:rPr>
            </w:pPr>
          </w:p>
          <w:p w14:paraId="10E34281">
            <w:pPr>
              <w:spacing w:line="244" w:lineRule="auto"/>
              <w:rPr>
                <w:rFonts w:ascii="Arial"/>
                <w:sz w:val="21"/>
              </w:rPr>
            </w:pPr>
          </w:p>
          <w:p w14:paraId="4E92D013">
            <w:pPr>
              <w:spacing w:line="244" w:lineRule="auto"/>
              <w:rPr>
                <w:rFonts w:ascii="Arial"/>
                <w:sz w:val="21"/>
              </w:rPr>
            </w:pPr>
          </w:p>
          <w:p w14:paraId="098C9104">
            <w:pPr>
              <w:spacing w:line="244" w:lineRule="auto"/>
              <w:rPr>
                <w:rFonts w:ascii="Arial"/>
                <w:sz w:val="21"/>
              </w:rPr>
            </w:pPr>
          </w:p>
          <w:p w14:paraId="3898C719">
            <w:pPr>
              <w:spacing w:line="244" w:lineRule="auto"/>
              <w:rPr>
                <w:rFonts w:ascii="Arial"/>
                <w:sz w:val="21"/>
              </w:rPr>
            </w:pPr>
          </w:p>
          <w:p w14:paraId="5A13CD61">
            <w:pPr>
              <w:spacing w:line="244" w:lineRule="auto"/>
              <w:rPr>
                <w:rFonts w:ascii="Arial"/>
                <w:sz w:val="21"/>
              </w:rPr>
            </w:pPr>
          </w:p>
          <w:p w14:paraId="25A43A07">
            <w:pPr>
              <w:spacing w:line="244" w:lineRule="auto"/>
              <w:rPr>
                <w:rFonts w:ascii="Arial"/>
                <w:sz w:val="21"/>
              </w:rPr>
            </w:pPr>
          </w:p>
          <w:p w14:paraId="0F0AA3E4">
            <w:pPr>
              <w:spacing w:line="244" w:lineRule="auto"/>
              <w:rPr>
                <w:rFonts w:ascii="Arial"/>
                <w:sz w:val="21"/>
              </w:rPr>
            </w:pPr>
          </w:p>
          <w:p w14:paraId="25C6E950">
            <w:pPr>
              <w:spacing w:line="244" w:lineRule="auto"/>
              <w:rPr>
                <w:rFonts w:ascii="Arial"/>
                <w:sz w:val="21"/>
              </w:rPr>
            </w:pPr>
          </w:p>
          <w:p w14:paraId="4B6827DA">
            <w:pPr>
              <w:pStyle w:val="6"/>
              <w:spacing w:before="77" w:line="212" w:lineRule="auto"/>
              <w:ind w:left="1412"/>
              <w:rPr>
                <w:sz w:val="23"/>
                <w:szCs w:val="23"/>
              </w:rPr>
            </w:pPr>
            <w:r>
              <w:rPr>
                <w:spacing w:val="28"/>
                <w:sz w:val="23"/>
                <w:szCs w:val="23"/>
              </w:rPr>
              <w:t>我</w:t>
            </w:r>
            <w:r>
              <w:rPr>
                <w:spacing w:val="54"/>
                <w:sz w:val="23"/>
                <w:szCs w:val="23"/>
              </w:rPr>
              <w:t xml:space="preserve"> </w:t>
            </w:r>
            <w:r>
              <w:rPr>
                <w:spacing w:val="28"/>
                <w:sz w:val="23"/>
                <w:szCs w:val="23"/>
              </w:rPr>
              <w:t>增</w:t>
            </w:r>
            <w:r>
              <w:rPr>
                <w:spacing w:val="3"/>
                <w:sz w:val="23"/>
                <w:szCs w:val="23"/>
              </w:rPr>
              <w:t xml:space="preserve">                       </w:t>
            </w:r>
            <w:r>
              <w:rPr>
                <w:spacing w:val="28"/>
                <w:sz w:val="23"/>
                <w:szCs w:val="23"/>
              </w:rPr>
              <w:t>六</w:t>
            </w:r>
            <w:r>
              <w:rPr>
                <w:spacing w:val="100"/>
                <w:sz w:val="23"/>
                <w:szCs w:val="23"/>
              </w:rPr>
              <w:t xml:space="preserve"> </w:t>
            </w:r>
            <w:r>
              <w:rPr>
                <w:spacing w:val="28"/>
                <w:sz w:val="23"/>
                <w:szCs w:val="23"/>
              </w:rPr>
              <w:t>弯</w:t>
            </w:r>
            <w:r>
              <w:rPr>
                <w:spacing w:val="32"/>
                <w:sz w:val="23"/>
                <w:szCs w:val="23"/>
              </w:rPr>
              <w:t xml:space="preserve">   </w:t>
            </w:r>
            <w:r>
              <w:rPr>
                <w:spacing w:val="28"/>
                <w:sz w:val="23"/>
                <w:szCs w:val="23"/>
              </w:rPr>
              <w:t>2</w:t>
            </w:r>
            <w:r>
              <w:rPr>
                <w:spacing w:val="12"/>
                <w:sz w:val="23"/>
                <w:szCs w:val="23"/>
              </w:rPr>
              <w:t xml:space="preserve">  </w:t>
            </w:r>
            <w:r>
              <w:rPr>
                <w:spacing w:val="28"/>
                <w:sz w:val="23"/>
                <w:szCs w:val="23"/>
              </w:rPr>
              <w:t>e</w:t>
            </w:r>
          </w:p>
        </w:tc>
        <w:tc>
          <w:tcPr>
            <w:tcW w:w="3947" w:type="dxa"/>
            <w:tcBorders>
              <w:right w:val="single" w:color="000000" w:sz="4" w:space="0"/>
            </w:tcBorders>
            <w:vAlign w:val="top"/>
          </w:tcPr>
          <w:p w14:paraId="46648988">
            <w:pPr>
              <w:spacing w:line="125" w:lineRule="exact"/>
            </w:pPr>
          </w:p>
          <w:tbl>
            <w:tblPr>
              <w:tblStyle w:val="5"/>
              <w:tblW w:w="3342" w:type="dxa"/>
              <w:tblInd w:w="177" w:type="dxa"/>
              <w:tblBorders>
                <w:top w:val="single" w:color="000000" w:sz="4" w:space="0"/>
                <w:left w:val="single" w:color="000000" w:sz="4"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342"/>
            </w:tblGrid>
            <w:tr w14:paraId="0621DCD4">
              <w:tblPrEx>
                <w:tblBorders>
                  <w:top w:val="single" w:color="000000" w:sz="4" w:space="0"/>
                  <w:left w:val="single" w:color="000000" w:sz="4"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760" w:hRule="atLeast"/>
              </w:trPr>
              <w:tc>
                <w:tcPr>
                  <w:tcW w:w="3342" w:type="dxa"/>
                  <w:vAlign w:val="top"/>
                </w:tcPr>
                <w:p w14:paraId="59A589AD">
                  <w:pPr>
                    <w:pStyle w:val="6"/>
                    <w:spacing w:before="120" w:line="2590" w:lineRule="exact"/>
                    <w:ind w:firstLine="549"/>
                  </w:pPr>
                  <w:r>
                    <w:rPr>
                      <w:position w:val="-51"/>
                    </w:rPr>
                    <w:pict>
                      <v:group id="_x0000_s1042" o:spid="_x0000_s1042" o:spt="203" style="height:129.5pt;width:112.05pt;" coordsize="2241,2590">
                        <o:lock v:ext="edit"/>
                        <v:shape id="_x0000_s1043" o:spid="_x0000_s1043" o:spt="75" type="#_x0000_t75" style="position:absolute;left:0;top:0;height:2590;width:2241;" filled="f" stroked="f" coordsize="21600,21600">
                          <v:path/>
                          <v:fill on="f" focussize="0,0"/>
                          <v:stroke on="f"/>
                          <v:imagedata r:id="rId76" o:title=""/>
                          <o:lock v:ext="edit" aspectratio="t"/>
                        </v:shape>
                        <v:shape id="_x0000_s1044" o:spid="_x0000_s1044" o:spt="202" type="#_x0000_t202" style="position:absolute;left:-20;top:-20;height:2630;width:2281;" filled="f" stroked="f" coordsize="21600,21600">
                          <v:path/>
                          <v:fill on="f" focussize="0,0"/>
                          <v:stroke on="f"/>
                          <v:imagedata o:title=""/>
                          <o:lock v:ext="edit" aspectratio="f"/>
                          <v:textbox inset="0mm,0mm,0mm,0mm">
                            <w:txbxContent>
                              <w:p w14:paraId="115CC4CB">
                                <w:pPr>
                                  <w:spacing w:line="337" w:lineRule="auto"/>
                                  <w:rPr>
                                    <w:rFonts w:ascii="Arial"/>
                                    <w:sz w:val="21"/>
                                  </w:rPr>
                                </w:pPr>
                              </w:p>
                              <w:p w14:paraId="36FFFBA7">
                                <w:pPr>
                                  <w:spacing w:line="337" w:lineRule="auto"/>
                                  <w:rPr>
                                    <w:rFonts w:ascii="Arial"/>
                                    <w:sz w:val="21"/>
                                  </w:rPr>
                                </w:pPr>
                              </w:p>
                              <w:p w14:paraId="6BE41557">
                                <w:pPr>
                                  <w:spacing w:before="23" w:line="224" w:lineRule="auto"/>
                                  <w:ind w:left="549"/>
                                  <w:rPr>
                                    <w:rFonts w:ascii="楷体" w:hAnsi="楷体" w:eastAsia="楷体" w:cs="楷体"/>
                                    <w:sz w:val="7"/>
                                    <w:szCs w:val="7"/>
                                  </w:rPr>
                                </w:pPr>
                                <w:r>
                                  <w:rPr>
                                    <w:rFonts w:ascii="楷体" w:hAnsi="楷体" w:eastAsia="楷体" w:cs="楷体"/>
                                    <w:spacing w:val="-4"/>
                                    <w:sz w:val="7"/>
                                    <w:szCs w:val="7"/>
                                  </w:rPr>
                                  <w:t>达</w:t>
                                </w:r>
                                <w:r>
                                  <w:rPr>
                                    <w:rFonts w:ascii="楷体" w:hAnsi="楷体" w:eastAsia="楷体" w:cs="楷体"/>
                                    <w:spacing w:val="10"/>
                                    <w:w w:val="101"/>
                                    <w:sz w:val="7"/>
                                    <w:szCs w:val="7"/>
                                  </w:rPr>
                                  <w:t xml:space="preserve"> </w:t>
                                </w:r>
                                <w:r>
                                  <w:rPr>
                                    <w:rFonts w:ascii="楷体" w:hAnsi="楷体" w:eastAsia="楷体" w:cs="楷体"/>
                                    <w:spacing w:val="-4"/>
                                    <w:sz w:val="7"/>
                                    <w:szCs w:val="7"/>
                                  </w:rPr>
                                  <w:t>压</w:t>
                                </w:r>
                                <w:r>
                                  <w:rPr>
                                    <w:rFonts w:ascii="楷体" w:hAnsi="楷体" w:eastAsia="楷体" w:cs="楷体"/>
                                    <w:spacing w:val="7"/>
                                    <w:sz w:val="7"/>
                                    <w:szCs w:val="7"/>
                                  </w:rPr>
                                  <w:t xml:space="preserve"> </w:t>
                                </w:r>
                                <w:r>
                                  <w:rPr>
                                    <w:rFonts w:ascii="楷体" w:hAnsi="楷体" w:eastAsia="楷体" w:cs="楷体"/>
                                    <w:spacing w:val="-4"/>
                                    <w:sz w:val="7"/>
                                    <w:szCs w:val="7"/>
                                  </w:rPr>
                                  <w:t>早</w:t>
                                </w:r>
                                <w:r>
                                  <w:rPr>
                                    <w:rFonts w:ascii="楷体" w:hAnsi="楷体" w:eastAsia="楷体" w:cs="楷体"/>
                                    <w:spacing w:val="11"/>
                                    <w:sz w:val="7"/>
                                    <w:szCs w:val="7"/>
                                  </w:rPr>
                                  <w:t xml:space="preserve"> </w:t>
                                </w:r>
                                <w:r>
                                  <w:rPr>
                                    <w:rFonts w:ascii="楷体" w:hAnsi="楷体" w:eastAsia="楷体" w:cs="楷体"/>
                                    <w:spacing w:val="-4"/>
                                    <w:sz w:val="7"/>
                                    <w:szCs w:val="7"/>
                                  </w:rPr>
                                  <w:t>溪</w:t>
                                </w:r>
                                <w:r>
                                  <w:rPr>
                                    <w:rFonts w:ascii="楷体" w:hAnsi="楷体" w:eastAsia="楷体" w:cs="楷体"/>
                                    <w:spacing w:val="11"/>
                                    <w:w w:val="102"/>
                                    <w:sz w:val="7"/>
                                    <w:szCs w:val="7"/>
                                  </w:rPr>
                                  <w:t xml:space="preserve"> </w:t>
                                </w:r>
                                <w:r>
                                  <w:rPr>
                                    <w:rFonts w:ascii="楷体" w:hAnsi="楷体" w:eastAsia="楷体" w:cs="楷体"/>
                                    <w:spacing w:val="-4"/>
                                    <w:sz w:val="7"/>
                                    <w:szCs w:val="7"/>
                                  </w:rPr>
                                  <w:t>卖</w:t>
                                </w:r>
                                <w:r>
                                  <w:rPr>
                                    <w:rFonts w:ascii="楷体" w:hAnsi="楷体" w:eastAsia="楷体" w:cs="楷体"/>
                                    <w:spacing w:val="8"/>
                                    <w:sz w:val="7"/>
                                    <w:szCs w:val="7"/>
                                  </w:rPr>
                                  <w:t xml:space="preserve"> </w:t>
                                </w:r>
                                <w:r>
                                  <w:rPr>
                                    <w:rFonts w:ascii="楷体" w:hAnsi="楷体" w:eastAsia="楷体" w:cs="楷体"/>
                                    <w:spacing w:val="-4"/>
                                    <w:sz w:val="7"/>
                                    <w:szCs w:val="7"/>
                                  </w:rPr>
                                  <w:t>软</w:t>
                                </w:r>
                                <w:r>
                                  <w:rPr>
                                    <w:rFonts w:ascii="楷体" w:hAnsi="楷体" w:eastAsia="楷体" w:cs="楷体"/>
                                    <w:spacing w:val="8"/>
                                    <w:w w:val="102"/>
                                    <w:sz w:val="7"/>
                                    <w:szCs w:val="7"/>
                                  </w:rPr>
                                  <w:t xml:space="preserve"> </w:t>
                                </w:r>
                                <w:r>
                                  <w:rPr>
                                    <w:rFonts w:ascii="楷体" w:hAnsi="楷体" w:eastAsia="楷体" w:cs="楷体"/>
                                    <w:spacing w:val="-4"/>
                                    <w:sz w:val="7"/>
                                    <w:szCs w:val="7"/>
                                  </w:rPr>
                                  <w:t>冷</w:t>
                                </w:r>
                                <w:r>
                                  <w:rPr>
                                    <w:rFonts w:ascii="楷体" w:hAnsi="楷体" w:eastAsia="楷体" w:cs="楷体"/>
                                    <w:spacing w:val="7"/>
                                    <w:sz w:val="7"/>
                                    <w:szCs w:val="7"/>
                                  </w:rPr>
                                  <w:t xml:space="preserve"> </w:t>
                                </w:r>
                                <w:r>
                                  <w:rPr>
                                    <w:rFonts w:ascii="楷体" w:hAnsi="楷体" w:eastAsia="楷体" w:cs="楷体"/>
                                    <w:spacing w:val="-4"/>
                                    <w:sz w:val="7"/>
                                    <w:szCs w:val="7"/>
                                  </w:rPr>
                                  <w:t>期</w:t>
                                </w:r>
                              </w:p>
                              <w:p w14:paraId="0FB9E0A4">
                                <w:pPr>
                                  <w:spacing w:before="207" w:line="221" w:lineRule="auto"/>
                                  <w:ind w:left="440"/>
                                  <w:rPr>
                                    <w:rFonts w:ascii="宋体" w:hAnsi="宋体" w:eastAsia="宋体" w:cs="宋体"/>
                                    <w:sz w:val="7"/>
                                    <w:szCs w:val="7"/>
                                  </w:rPr>
                                </w:pPr>
                                <w:r>
                                  <w:rPr>
                                    <w:rFonts w:ascii="宋体" w:hAnsi="宋体" w:eastAsia="宋体" w:cs="宋体"/>
                                    <w:spacing w:val="-3"/>
                                    <w:sz w:val="7"/>
                                    <w:szCs w:val="7"/>
                                  </w:rPr>
                                  <w:t>11</w:t>
                                </w:r>
                                <w:r>
                                  <w:rPr>
                                    <w:rFonts w:ascii="宋体" w:hAnsi="宋体" w:eastAsia="宋体" w:cs="宋体"/>
                                    <w:spacing w:val="4"/>
                                    <w:sz w:val="7"/>
                                    <w:szCs w:val="7"/>
                                  </w:rPr>
                                  <w:t xml:space="preserve">   </w:t>
                                </w:r>
                                <w:r>
                                  <w:rPr>
                                    <w:rFonts w:ascii="宋体" w:hAnsi="宋体" w:eastAsia="宋体" w:cs="宋体"/>
                                    <w:spacing w:val="-3"/>
                                    <w:sz w:val="7"/>
                                    <w:szCs w:val="7"/>
                                  </w:rPr>
                                  <w:t>罗</w:t>
                                </w:r>
                                <w:r>
                                  <w:rPr>
                                    <w:rFonts w:ascii="宋体" w:hAnsi="宋体" w:eastAsia="宋体" w:cs="宋体"/>
                                    <w:sz w:val="7"/>
                                    <w:szCs w:val="7"/>
                                  </w:rPr>
                                  <w:t xml:space="preserve">       </w:t>
                                </w:r>
                                <w:r>
                                  <w:rPr>
                                    <w:rFonts w:ascii="宋体" w:hAnsi="宋体" w:eastAsia="宋体" w:cs="宋体"/>
                                    <w:spacing w:val="-3"/>
                                    <w:sz w:val="7"/>
                                    <w:szCs w:val="7"/>
                                  </w:rPr>
                                  <w:t>初</w:t>
                                </w:r>
                              </w:p>
                              <w:p w14:paraId="31A24072">
                                <w:pPr>
                                  <w:spacing w:line="281" w:lineRule="auto"/>
                                  <w:rPr>
                                    <w:rFonts w:ascii="Arial"/>
                                    <w:sz w:val="21"/>
                                  </w:rPr>
                                </w:pPr>
                              </w:p>
                              <w:p w14:paraId="1C853F6C">
                                <w:pPr>
                                  <w:spacing w:line="281" w:lineRule="auto"/>
                                  <w:rPr>
                                    <w:rFonts w:ascii="Arial"/>
                                    <w:sz w:val="21"/>
                                  </w:rPr>
                                </w:pPr>
                              </w:p>
                              <w:p w14:paraId="1765109A">
                                <w:pPr>
                                  <w:spacing w:line="281" w:lineRule="auto"/>
                                  <w:rPr>
                                    <w:rFonts w:ascii="Arial"/>
                                    <w:sz w:val="21"/>
                                  </w:rPr>
                                </w:pPr>
                              </w:p>
                              <w:p w14:paraId="67DA5DF9">
                                <w:pPr>
                                  <w:spacing w:line="281" w:lineRule="auto"/>
                                  <w:rPr>
                                    <w:rFonts w:ascii="Arial"/>
                                    <w:sz w:val="21"/>
                                  </w:rPr>
                                </w:pPr>
                              </w:p>
                              <w:p w14:paraId="4957CBE7">
                                <w:pPr>
                                  <w:spacing w:line="281" w:lineRule="auto"/>
                                  <w:rPr>
                                    <w:rFonts w:ascii="Arial"/>
                                    <w:sz w:val="21"/>
                                  </w:rPr>
                                </w:pPr>
                              </w:p>
                              <w:p w14:paraId="7A97344A">
                                <w:pPr>
                                  <w:spacing w:before="32" w:line="188" w:lineRule="auto"/>
                                  <w:ind w:left="689"/>
                                  <w:rPr>
                                    <w:rFonts w:ascii="Times New Roman" w:hAnsi="Times New Roman" w:eastAsia="Times New Roman" w:cs="Times New Roman"/>
                                    <w:sz w:val="11"/>
                                    <w:szCs w:val="11"/>
                                  </w:rPr>
                                </w:pPr>
                                <w:r>
                                  <w:rPr>
                                    <w:rFonts w:ascii="Times New Roman" w:hAnsi="Times New Roman" w:eastAsia="Times New Roman" w:cs="Times New Roman"/>
                                    <w:spacing w:val="-3"/>
                                    <w:sz w:val="11"/>
                                    <w:szCs w:val="11"/>
                                  </w:rPr>
                                  <w:t>10D</w:t>
                                </w:r>
                              </w:p>
                            </w:txbxContent>
                          </v:textbox>
                        </v:shape>
                        <w10:wrap type="none"/>
                        <w10:anchorlock/>
                      </v:group>
                    </w:pict>
                  </w:r>
                </w:p>
              </w:tc>
            </w:tr>
          </w:tbl>
          <w:p w14:paraId="3C19580D">
            <w:pPr>
              <w:spacing w:line="109" w:lineRule="exact"/>
            </w:pPr>
          </w:p>
          <w:tbl>
            <w:tblPr>
              <w:tblStyle w:val="5"/>
              <w:tblW w:w="3404" w:type="dxa"/>
              <w:tblInd w:w="144" w:type="dxa"/>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404"/>
            </w:tblGrid>
            <w:tr w14:paraId="31376D00">
              <w:tblPrEx>
                <w:tblBorders>
                  <w:top w:val="single" w:color="000000" w:sz="4"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470" w:hRule="atLeast"/>
              </w:trPr>
              <w:tc>
                <w:tcPr>
                  <w:tcW w:w="3404" w:type="dxa"/>
                  <w:vAlign w:val="top"/>
                </w:tcPr>
                <w:p w14:paraId="2BB53BE6">
                  <w:pPr>
                    <w:spacing w:line="262" w:lineRule="auto"/>
                    <w:rPr>
                      <w:rFonts w:ascii="Arial"/>
                      <w:sz w:val="21"/>
                    </w:rPr>
                  </w:pPr>
                </w:p>
                <w:p w14:paraId="3F2A77C9">
                  <w:pPr>
                    <w:spacing w:line="263" w:lineRule="auto"/>
                    <w:rPr>
                      <w:rFonts w:ascii="Arial"/>
                      <w:sz w:val="21"/>
                    </w:rPr>
                  </w:pPr>
                </w:p>
                <w:p w14:paraId="2252A798">
                  <w:pPr>
                    <w:pStyle w:val="6"/>
                    <w:spacing w:before="48" w:line="184" w:lineRule="auto"/>
                    <w:ind w:left="144" w:right="189"/>
                    <w:rPr>
                      <w:sz w:val="15"/>
                      <w:szCs w:val="15"/>
                    </w:rPr>
                  </w:pPr>
                  <w:r>
                    <w:rPr>
                      <w:spacing w:val="25"/>
                      <w:sz w:val="15"/>
                      <w:szCs w:val="15"/>
                    </w:rPr>
                    <w:t>一</w:t>
                  </w:r>
                  <w:r>
                    <w:rPr>
                      <w:spacing w:val="-36"/>
                      <w:sz w:val="15"/>
                      <w:szCs w:val="15"/>
                    </w:rPr>
                    <w:t xml:space="preserve"> </w:t>
                  </w:r>
                  <w:r>
                    <w:rPr>
                      <w:spacing w:val="25"/>
                      <w:sz w:val="15"/>
                      <w:szCs w:val="15"/>
                    </w:rPr>
                    <w:t>级保护区：长为取水口上游1000米，</w:t>
                  </w:r>
                  <w:r>
                    <w:rPr>
                      <w:sz w:val="15"/>
                      <w:szCs w:val="15"/>
                    </w:rPr>
                    <w:t xml:space="preserve"> </w:t>
                  </w:r>
                  <w:r>
                    <w:rPr>
                      <w:spacing w:val="-10"/>
                      <w:sz w:val="15"/>
                      <w:szCs w:val="15"/>
                    </w:rPr>
                    <w:t>下</w:t>
                  </w:r>
                  <w:r>
                    <w:rPr>
                      <w:spacing w:val="-30"/>
                      <w:sz w:val="15"/>
                      <w:szCs w:val="15"/>
                    </w:rPr>
                    <w:t xml:space="preserve"> </w:t>
                  </w:r>
                  <w:r>
                    <w:rPr>
                      <w:spacing w:val="-10"/>
                      <w:sz w:val="15"/>
                      <w:szCs w:val="15"/>
                    </w:rPr>
                    <w:t>游</w:t>
                  </w:r>
                  <w:r>
                    <w:rPr>
                      <w:spacing w:val="-23"/>
                      <w:sz w:val="15"/>
                      <w:szCs w:val="15"/>
                    </w:rPr>
                    <w:t xml:space="preserve"> </w:t>
                  </w:r>
                  <w:r>
                    <w:rPr>
                      <w:spacing w:val="-10"/>
                      <w:sz w:val="15"/>
                      <w:szCs w:val="15"/>
                    </w:rPr>
                    <w:t>1</w:t>
                  </w:r>
                  <w:r>
                    <w:rPr>
                      <w:spacing w:val="-33"/>
                      <w:sz w:val="15"/>
                      <w:szCs w:val="15"/>
                    </w:rPr>
                    <w:t xml:space="preserve"> </w:t>
                  </w:r>
                  <w:r>
                    <w:rPr>
                      <w:spacing w:val="-10"/>
                      <w:sz w:val="15"/>
                      <w:szCs w:val="15"/>
                    </w:rPr>
                    <w:t>0</w:t>
                  </w:r>
                  <w:r>
                    <w:rPr>
                      <w:spacing w:val="-33"/>
                      <w:sz w:val="15"/>
                      <w:szCs w:val="15"/>
                    </w:rPr>
                    <w:t xml:space="preserve"> </w:t>
                  </w:r>
                  <w:r>
                    <w:rPr>
                      <w:spacing w:val="-10"/>
                      <w:sz w:val="15"/>
                      <w:szCs w:val="15"/>
                    </w:rPr>
                    <w:t>0</w:t>
                  </w:r>
                  <w:r>
                    <w:rPr>
                      <w:spacing w:val="-35"/>
                      <w:sz w:val="15"/>
                      <w:szCs w:val="15"/>
                    </w:rPr>
                    <w:t xml:space="preserve"> </w:t>
                  </w:r>
                  <w:r>
                    <w:rPr>
                      <w:spacing w:val="-10"/>
                      <w:sz w:val="15"/>
                      <w:szCs w:val="15"/>
                    </w:rPr>
                    <w:t>米</w:t>
                  </w:r>
                  <w:r>
                    <w:rPr>
                      <w:spacing w:val="-21"/>
                      <w:sz w:val="15"/>
                      <w:szCs w:val="15"/>
                    </w:rPr>
                    <w:t xml:space="preserve"> </w:t>
                  </w:r>
                  <w:r>
                    <w:rPr>
                      <w:spacing w:val="-10"/>
                      <w:sz w:val="15"/>
                      <w:szCs w:val="15"/>
                    </w:rPr>
                    <w:t>；</w:t>
                  </w:r>
                  <w:r>
                    <w:rPr>
                      <w:spacing w:val="-27"/>
                      <w:sz w:val="15"/>
                      <w:szCs w:val="15"/>
                    </w:rPr>
                    <w:t xml:space="preserve"> </w:t>
                  </w:r>
                  <w:r>
                    <w:rPr>
                      <w:spacing w:val="-10"/>
                      <w:sz w:val="15"/>
                      <w:szCs w:val="15"/>
                    </w:rPr>
                    <w:t>宽</w:t>
                  </w:r>
                  <w:r>
                    <w:rPr>
                      <w:spacing w:val="-35"/>
                      <w:sz w:val="15"/>
                      <w:szCs w:val="15"/>
                    </w:rPr>
                    <w:t xml:space="preserve"> </w:t>
                  </w:r>
                  <w:r>
                    <w:rPr>
                      <w:spacing w:val="-10"/>
                      <w:sz w:val="15"/>
                      <w:szCs w:val="15"/>
                    </w:rPr>
                    <w:t>度</w:t>
                  </w:r>
                  <w:r>
                    <w:rPr>
                      <w:spacing w:val="-32"/>
                      <w:sz w:val="15"/>
                      <w:szCs w:val="15"/>
                    </w:rPr>
                    <w:t xml:space="preserve"> </w:t>
                  </w:r>
                  <w:r>
                    <w:rPr>
                      <w:spacing w:val="-10"/>
                      <w:sz w:val="15"/>
                      <w:szCs w:val="15"/>
                    </w:rPr>
                    <w:t>为</w:t>
                  </w:r>
                  <w:r>
                    <w:rPr>
                      <w:spacing w:val="-34"/>
                      <w:sz w:val="15"/>
                      <w:szCs w:val="15"/>
                    </w:rPr>
                    <w:t xml:space="preserve"> </w:t>
                  </w:r>
                  <w:r>
                    <w:rPr>
                      <w:spacing w:val="-10"/>
                      <w:sz w:val="15"/>
                      <w:szCs w:val="15"/>
                    </w:rPr>
                    <w:t>沿</w:t>
                  </w:r>
                  <w:r>
                    <w:rPr>
                      <w:spacing w:val="-34"/>
                      <w:sz w:val="15"/>
                      <w:szCs w:val="15"/>
                    </w:rPr>
                    <w:t xml:space="preserve"> </w:t>
                  </w:r>
                  <w:r>
                    <w:rPr>
                      <w:spacing w:val="-10"/>
                      <w:sz w:val="15"/>
                      <w:szCs w:val="15"/>
                    </w:rPr>
                    <w:t>岸</w:t>
                  </w:r>
                  <w:r>
                    <w:rPr>
                      <w:spacing w:val="-32"/>
                      <w:sz w:val="15"/>
                      <w:szCs w:val="15"/>
                    </w:rPr>
                    <w:t xml:space="preserve"> </w:t>
                  </w:r>
                  <w:r>
                    <w:rPr>
                      <w:spacing w:val="-10"/>
                      <w:sz w:val="15"/>
                      <w:szCs w:val="15"/>
                    </w:rPr>
                    <w:t>纵</w:t>
                  </w:r>
                  <w:r>
                    <w:rPr>
                      <w:spacing w:val="-35"/>
                      <w:sz w:val="15"/>
                      <w:szCs w:val="15"/>
                    </w:rPr>
                    <w:t xml:space="preserve"> </w:t>
                  </w:r>
                  <w:r>
                    <w:rPr>
                      <w:spacing w:val="-10"/>
                      <w:sz w:val="15"/>
                      <w:szCs w:val="15"/>
                    </w:rPr>
                    <w:t>深 (</w:t>
                  </w:r>
                  <w:r>
                    <w:rPr>
                      <w:spacing w:val="-27"/>
                      <w:sz w:val="15"/>
                      <w:szCs w:val="15"/>
                    </w:rPr>
                    <w:t xml:space="preserve"> </w:t>
                  </w:r>
                  <w:r>
                    <w:rPr>
                      <w:spacing w:val="-10"/>
                      <w:sz w:val="15"/>
                      <w:szCs w:val="15"/>
                    </w:rPr>
                    <w:t>宽</w:t>
                  </w:r>
                  <w:r>
                    <w:rPr>
                      <w:spacing w:val="-35"/>
                      <w:sz w:val="15"/>
                      <w:szCs w:val="15"/>
                    </w:rPr>
                    <w:t xml:space="preserve"> </w:t>
                  </w:r>
                  <w:r>
                    <w:rPr>
                      <w:spacing w:val="-10"/>
                      <w:sz w:val="15"/>
                      <w:szCs w:val="15"/>
                    </w:rPr>
                    <w:t>度</w:t>
                  </w:r>
                  <w:r>
                    <w:rPr>
                      <w:spacing w:val="-26"/>
                      <w:sz w:val="15"/>
                      <w:szCs w:val="15"/>
                    </w:rPr>
                    <w:t xml:space="preserve"> </w:t>
                  </w:r>
                  <w:r>
                    <w:rPr>
                      <w:spacing w:val="-10"/>
                      <w:sz w:val="15"/>
                      <w:szCs w:val="15"/>
                    </w:rPr>
                    <w:t>》</w:t>
                  </w:r>
                  <w:r>
                    <w:rPr>
                      <w:sz w:val="15"/>
                      <w:szCs w:val="15"/>
                    </w:rPr>
                    <w:t xml:space="preserve">  </w:t>
                  </w:r>
                  <w:r>
                    <w:rPr>
                      <w:spacing w:val="25"/>
                      <w:sz w:val="15"/>
                      <w:szCs w:val="15"/>
                    </w:rPr>
                    <w:t>至</w:t>
                  </w:r>
                  <w:r>
                    <w:rPr>
                      <w:spacing w:val="-26"/>
                      <w:sz w:val="15"/>
                      <w:szCs w:val="15"/>
                    </w:rPr>
                    <w:t xml:space="preserve"> </w:t>
                  </w:r>
                  <w:r>
                    <w:rPr>
                      <w:spacing w:val="25"/>
                      <w:sz w:val="15"/>
                      <w:szCs w:val="15"/>
                    </w:rPr>
                    <w:t>一</w:t>
                  </w:r>
                  <w:r>
                    <w:rPr>
                      <w:spacing w:val="-34"/>
                      <w:sz w:val="15"/>
                      <w:szCs w:val="15"/>
                    </w:rPr>
                    <w:t xml:space="preserve"> </w:t>
                  </w:r>
                  <w:r>
                    <w:rPr>
                      <w:spacing w:val="25"/>
                      <w:sz w:val="15"/>
                      <w:szCs w:val="15"/>
                    </w:rPr>
                    <w:t>级保护区水域边界外50米，其中</w:t>
                  </w:r>
                  <w:r>
                    <w:rPr>
                      <w:sz w:val="15"/>
                      <w:szCs w:val="15"/>
                    </w:rPr>
                    <w:t xml:space="preserve">   </w:t>
                  </w:r>
                  <w:r>
                    <w:rPr>
                      <w:spacing w:val="27"/>
                      <w:sz w:val="15"/>
                      <w:szCs w:val="15"/>
                    </w:rPr>
                    <w:t>东侧中部以沙明线为界</w:t>
                  </w:r>
                  <w:r>
                    <w:rPr>
                      <w:spacing w:val="-18"/>
                      <w:sz w:val="15"/>
                      <w:szCs w:val="15"/>
                    </w:rPr>
                    <w:t xml:space="preserve"> </w:t>
                  </w:r>
                  <w:r>
                    <w:rPr>
                      <w:spacing w:val="27"/>
                      <w:sz w:val="15"/>
                      <w:szCs w:val="15"/>
                    </w:rPr>
                    <w:t>：</w:t>
                  </w:r>
                  <w:r>
                    <w:rPr>
                      <w:spacing w:val="-29"/>
                      <w:sz w:val="15"/>
                      <w:szCs w:val="15"/>
                    </w:rPr>
                    <w:t xml:space="preserve"> </w:t>
                  </w:r>
                  <w:r>
                    <w:rPr>
                      <w:spacing w:val="27"/>
                      <w:sz w:val="15"/>
                      <w:szCs w:val="15"/>
                    </w:rPr>
                    <w:t>东侧南部以</w:t>
                  </w:r>
                </w:p>
                <w:p w14:paraId="127D549A">
                  <w:pPr>
                    <w:pStyle w:val="6"/>
                    <w:spacing w:line="185" w:lineRule="auto"/>
                    <w:ind w:left="144" w:right="346" w:firstLine="2"/>
                    <w:rPr>
                      <w:sz w:val="15"/>
                      <w:szCs w:val="15"/>
                    </w:rPr>
                  </w:pPr>
                  <w:r>
                    <w:rPr>
                      <w:b/>
                      <w:bCs/>
                      <w:spacing w:val="28"/>
                      <w:sz w:val="15"/>
                      <w:szCs w:val="15"/>
                    </w:rPr>
                    <w:t>防洪民堤为界</w:t>
                  </w:r>
                  <w:r>
                    <w:rPr>
                      <w:spacing w:val="-30"/>
                      <w:sz w:val="15"/>
                      <w:szCs w:val="15"/>
                    </w:rPr>
                    <w:t xml:space="preserve"> </w:t>
                  </w:r>
                  <w:r>
                    <w:rPr>
                      <w:b/>
                      <w:bCs/>
                      <w:spacing w:val="28"/>
                      <w:sz w:val="15"/>
                      <w:szCs w:val="15"/>
                    </w:rPr>
                    <w:t>：</w:t>
                  </w:r>
                  <w:r>
                    <w:rPr>
                      <w:spacing w:val="28"/>
                      <w:sz w:val="15"/>
                      <w:szCs w:val="15"/>
                    </w:rPr>
                    <w:t>西北侧以乡村道路为</w:t>
                  </w:r>
                  <w:r>
                    <w:rPr>
                      <w:sz w:val="15"/>
                      <w:szCs w:val="15"/>
                    </w:rPr>
                    <w:t xml:space="preserve"> </w:t>
                  </w:r>
                  <w:r>
                    <w:rPr>
                      <w:spacing w:val="18"/>
                      <w:sz w:val="15"/>
                      <w:szCs w:val="15"/>
                    </w:rPr>
                    <w:t>羿。面积0</w:t>
                  </w:r>
                  <w:r>
                    <w:rPr>
                      <w:spacing w:val="-36"/>
                      <w:sz w:val="15"/>
                      <w:szCs w:val="15"/>
                    </w:rPr>
                    <w:t xml:space="preserve"> </w:t>
                  </w:r>
                  <w:r>
                    <w:rPr>
                      <w:spacing w:val="18"/>
                      <w:sz w:val="15"/>
                      <w:szCs w:val="15"/>
                    </w:rPr>
                    <w:t>.</w:t>
                  </w:r>
                  <w:r>
                    <w:rPr>
                      <w:spacing w:val="-31"/>
                      <w:sz w:val="15"/>
                      <w:szCs w:val="15"/>
                    </w:rPr>
                    <w:t xml:space="preserve"> </w:t>
                  </w:r>
                  <w:r>
                    <w:rPr>
                      <w:spacing w:val="18"/>
                      <w:sz w:val="15"/>
                      <w:szCs w:val="15"/>
                    </w:rPr>
                    <w:t>1833平方千米。</w:t>
                  </w:r>
                </w:p>
                <w:p w14:paraId="28ED64F5">
                  <w:pPr>
                    <w:pStyle w:val="6"/>
                    <w:spacing w:line="184" w:lineRule="auto"/>
                    <w:ind w:left="144"/>
                    <w:rPr>
                      <w:sz w:val="15"/>
                      <w:szCs w:val="15"/>
                    </w:rPr>
                  </w:pPr>
                  <w:r>
                    <w:rPr>
                      <w:spacing w:val="26"/>
                      <w:sz w:val="15"/>
                      <w:szCs w:val="15"/>
                    </w:rPr>
                    <w:t>二级保护区：长为从</w:t>
                  </w:r>
                  <w:r>
                    <w:rPr>
                      <w:spacing w:val="-29"/>
                      <w:sz w:val="15"/>
                      <w:szCs w:val="15"/>
                    </w:rPr>
                    <w:t xml:space="preserve"> </w:t>
                  </w:r>
                  <w:r>
                    <w:rPr>
                      <w:spacing w:val="26"/>
                      <w:sz w:val="15"/>
                      <w:szCs w:val="15"/>
                    </w:rPr>
                    <w:t>一</w:t>
                  </w:r>
                  <w:r>
                    <w:rPr>
                      <w:spacing w:val="-32"/>
                      <w:sz w:val="15"/>
                      <w:szCs w:val="15"/>
                    </w:rPr>
                    <w:t xml:space="preserve"> </w:t>
                  </w:r>
                  <w:r>
                    <w:rPr>
                      <w:spacing w:val="26"/>
                      <w:sz w:val="15"/>
                      <w:szCs w:val="15"/>
                    </w:rPr>
                    <w:t>级保护区的上</w:t>
                  </w:r>
                </w:p>
                <w:p w14:paraId="332A1106">
                  <w:pPr>
                    <w:pStyle w:val="6"/>
                    <w:spacing w:before="2" w:line="184" w:lineRule="auto"/>
                    <w:ind w:left="144" w:right="211"/>
                    <w:rPr>
                      <w:sz w:val="15"/>
                      <w:szCs w:val="15"/>
                    </w:rPr>
                  </w:pPr>
                  <w:r>
                    <w:rPr>
                      <w:spacing w:val="24"/>
                      <w:sz w:val="15"/>
                      <w:szCs w:val="15"/>
                    </w:rPr>
                    <w:t>游边界向上游延伸2000米至</w:t>
                  </w:r>
                  <w:r>
                    <w:rPr>
                      <w:spacing w:val="-36"/>
                      <w:sz w:val="15"/>
                      <w:szCs w:val="15"/>
                    </w:rPr>
                    <w:t xml:space="preserve"> </w:t>
                  </w:r>
                  <w:r>
                    <w:rPr>
                      <w:spacing w:val="24"/>
                      <w:sz w:val="15"/>
                      <w:szCs w:val="15"/>
                    </w:rPr>
                    <w:t>一</w:t>
                  </w:r>
                  <w:r>
                    <w:rPr>
                      <w:spacing w:val="-37"/>
                      <w:sz w:val="15"/>
                      <w:szCs w:val="15"/>
                    </w:rPr>
                    <w:t xml:space="preserve"> </w:t>
                  </w:r>
                  <w:r>
                    <w:rPr>
                      <w:spacing w:val="24"/>
                      <w:sz w:val="15"/>
                      <w:szCs w:val="15"/>
                    </w:rPr>
                    <w:t>级保护</w:t>
                  </w:r>
                  <w:r>
                    <w:rPr>
                      <w:sz w:val="15"/>
                      <w:szCs w:val="15"/>
                    </w:rPr>
                    <w:t xml:space="preserve">   </w:t>
                  </w:r>
                  <w:r>
                    <w:rPr>
                      <w:spacing w:val="30"/>
                      <w:sz w:val="15"/>
                      <w:szCs w:val="15"/>
                    </w:rPr>
                    <w:t>区边界向下游延伸200米。东北端以平</w:t>
                  </w:r>
                  <w:r>
                    <w:rPr>
                      <w:spacing w:val="1"/>
                      <w:sz w:val="15"/>
                      <w:szCs w:val="15"/>
                    </w:rPr>
                    <w:t xml:space="preserve"> </w:t>
                  </w:r>
                  <w:r>
                    <w:rPr>
                      <w:spacing w:val="-11"/>
                      <w:sz w:val="15"/>
                      <w:szCs w:val="15"/>
                    </w:rPr>
                    <w:t>壕</w:t>
                  </w:r>
                  <w:r>
                    <w:rPr>
                      <w:spacing w:val="-30"/>
                      <w:sz w:val="15"/>
                      <w:szCs w:val="15"/>
                    </w:rPr>
                    <w:t xml:space="preserve"> </w:t>
                  </w:r>
                  <w:r>
                    <w:rPr>
                      <w:spacing w:val="-11"/>
                      <w:sz w:val="15"/>
                      <w:szCs w:val="15"/>
                    </w:rPr>
                    <w:t>渠</w:t>
                  </w:r>
                  <w:r>
                    <w:rPr>
                      <w:spacing w:val="-34"/>
                      <w:sz w:val="15"/>
                      <w:szCs w:val="15"/>
                    </w:rPr>
                    <w:t xml:space="preserve"> </w:t>
                  </w:r>
                  <w:r>
                    <w:rPr>
                      <w:spacing w:val="-11"/>
                      <w:sz w:val="15"/>
                      <w:szCs w:val="15"/>
                    </w:rPr>
                    <w:t>及 以</w:t>
                  </w:r>
                  <w:r>
                    <w:rPr>
                      <w:spacing w:val="-31"/>
                      <w:sz w:val="15"/>
                      <w:szCs w:val="15"/>
                    </w:rPr>
                    <w:t xml:space="preserve"> </w:t>
                  </w:r>
                  <w:r>
                    <w:rPr>
                      <w:spacing w:val="-11"/>
                      <w:sz w:val="15"/>
                      <w:szCs w:val="15"/>
                    </w:rPr>
                    <w:t>北</w:t>
                  </w:r>
                  <w:r>
                    <w:rPr>
                      <w:spacing w:val="-21"/>
                      <w:sz w:val="15"/>
                      <w:szCs w:val="15"/>
                    </w:rPr>
                    <w:t xml:space="preserve"> </w:t>
                  </w:r>
                  <w:r>
                    <w:rPr>
                      <w:spacing w:val="-11"/>
                      <w:sz w:val="15"/>
                      <w:szCs w:val="15"/>
                    </w:rPr>
                    <w:t>的</w:t>
                  </w:r>
                  <w:r>
                    <w:rPr>
                      <w:spacing w:val="-21"/>
                      <w:sz w:val="15"/>
                      <w:szCs w:val="15"/>
                    </w:rPr>
                    <w:t xml:space="preserve"> </w:t>
                  </w:r>
                  <w:r>
                    <w:rPr>
                      <w:spacing w:val="-11"/>
                      <w:sz w:val="15"/>
                      <w:szCs w:val="15"/>
                    </w:rPr>
                    <w:t>台</w:t>
                  </w:r>
                  <w:r>
                    <w:rPr>
                      <w:spacing w:val="-33"/>
                      <w:sz w:val="15"/>
                      <w:szCs w:val="15"/>
                    </w:rPr>
                    <w:t xml:space="preserve"> </w:t>
                  </w:r>
                  <w:r>
                    <w:rPr>
                      <w:spacing w:val="-11"/>
                      <w:sz w:val="15"/>
                      <w:szCs w:val="15"/>
                    </w:rPr>
                    <w:t>地 (</w:t>
                  </w:r>
                  <w:r>
                    <w:rPr>
                      <w:spacing w:val="-29"/>
                      <w:sz w:val="15"/>
                      <w:szCs w:val="15"/>
                    </w:rPr>
                    <w:t xml:space="preserve"> </w:t>
                  </w:r>
                  <w:r>
                    <w:rPr>
                      <w:spacing w:val="-11"/>
                      <w:sz w:val="15"/>
                      <w:szCs w:val="15"/>
                    </w:rPr>
                    <w:t>高</w:t>
                  </w:r>
                  <w:r>
                    <w:rPr>
                      <w:spacing w:val="-34"/>
                      <w:sz w:val="15"/>
                      <w:szCs w:val="15"/>
                    </w:rPr>
                    <w:t xml:space="preserve"> </w:t>
                  </w:r>
                  <w:r>
                    <w:rPr>
                      <w:spacing w:val="-11"/>
                      <w:sz w:val="15"/>
                      <w:szCs w:val="15"/>
                    </w:rPr>
                    <w:t>程</w:t>
                  </w:r>
                  <w:r>
                    <w:rPr>
                      <w:spacing w:val="-31"/>
                      <w:sz w:val="15"/>
                      <w:szCs w:val="15"/>
                    </w:rPr>
                    <w:t xml:space="preserve"> </w:t>
                  </w:r>
                  <w:r>
                    <w:rPr>
                      <w:spacing w:val="-11"/>
                      <w:sz w:val="15"/>
                      <w:szCs w:val="15"/>
                    </w:rPr>
                    <w:t>大</w:t>
                  </w:r>
                  <w:r>
                    <w:rPr>
                      <w:spacing w:val="-31"/>
                      <w:sz w:val="15"/>
                      <w:szCs w:val="15"/>
                    </w:rPr>
                    <w:t xml:space="preserve"> </w:t>
                  </w:r>
                  <w:r>
                    <w:rPr>
                      <w:spacing w:val="-11"/>
                      <w:sz w:val="15"/>
                      <w:szCs w:val="15"/>
                    </w:rPr>
                    <w:t>于</w:t>
                  </w:r>
                  <w:r>
                    <w:rPr>
                      <w:spacing w:val="-22"/>
                      <w:sz w:val="15"/>
                      <w:szCs w:val="15"/>
                    </w:rPr>
                    <w:t xml:space="preserve"> </w:t>
                  </w:r>
                  <w:r>
                    <w:rPr>
                      <w:spacing w:val="-11"/>
                      <w:sz w:val="15"/>
                      <w:szCs w:val="15"/>
                    </w:rPr>
                    <w:t>1</w:t>
                  </w:r>
                  <w:r>
                    <w:rPr>
                      <w:spacing w:val="-31"/>
                      <w:sz w:val="15"/>
                      <w:szCs w:val="15"/>
                    </w:rPr>
                    <w:t xml:space="preserve"> </w:t>
                  </w:r>
                  <w:r>
                    <w:rPr>
                      <w:spacing w:val="-11"/>
                      <w:sz w:val="15"/>
                      <w:szCs w:val="15"/>
                    </w:rPr>
                    <w:t>2</w:t>
                  </w:r>
                  <w:r>
                    <w:rPr>
                      <w:spacing w:val="-32"/>
                      <w:sz w:val="15"/>
                      <w:szCs w:val="15"/>
                    </w:rPr>
                    <w:t xml:space="preserve"> </w:t>
                  </w:r>
                  <w:r>
                    <w:rPr>
                      <w:spacing w:val="-11"/>
                      <w:sz w:val="15"/>
                      <w:szCs w:val="15"/>
                    </w:rPr>
                    <w:t>6</w:t>
                  </w:r>
                  <w:r>
                    <w:rPr>
                      <w:spacing w:val="-32"/>
                      <w:sz w:val="15"/>
                      <w:szCs w:val="15"/>
                    </w:rPr>
                    <w:t xml:space="preserve"> </w:t>
                  </w:r>
                  <w:r>
                    <w:rPr>
                      <w:spacing w:val="-11"/>
                      <w:sz w:val="15"/>
                      <w:szCs w:val="15"/>
                    </w:rPr>
                    <w:t>6</w:t>
                  </w:r>
                  <w:r>
                    <w:rPr>
                      <w:spacing w:val="-33"/>
                      <w:sz w:val="15"/>
                      <w:szCs w:val="15"/>
                    </w:rPr>
                    <w:t xml:space="preserve"> </w:t>
                  </w:r>
                  <w:r>
                    <w:rPr>
                      <w:spacing w:val="-11"/>
                      <w:sz w:val="15"/>
                      <w:szCs w:val="15"/>
                    </w:rPr>
                    <w:t>米</w:t>
                  </w:r>
                  <w:r>
                    <w:rPr>
                      <w:spacing w:val="-33"/>
                      <w:sz w:val="15"/>
                      <w:szCs w:val="15"/>
                    </w:rPr>
                    <w:t xml:space="preserve"> </w:t>
                  </w:r>
                  <w:r>
                    <w:rPr>
                      <w:spacing w:val="-11"/>
                      <w:sz w:val="15"/>
                      <w:szCs w:val="15"/>
                    </w:rPr>
                    <w:t>)</w:t>
                  </w:r>
                  <w:r>
                    <w:rPr>
                      <w:sz w:val="15"/>
                      <w:szCs w:val="15"/>
                    </w:rPr>
                    <w:t xml:space="preserve"> </w:t>
                  </w:r>
                  <w:r>
                    <w:rPr>
                      <w:spacing w:val="19"/>
                      <w:sz w:val="15"/>
                      <w:szCs w:val="15"/>
                    </w:rPr>
                    <w:t>为界</w:t>
                  </w:r>
                  <w:r>
                    <w:rPr>
                      <w:spacing w:val="-8"/>
                      <w:sz w:val="15"/>
                      <w:szCs w:val="15"/>
                    </w:rPr>
                    <w:t xml:space="preserve"> </w:t>
                  </w:r>
                  <w:r>
                    <w:rPr>
                      <w:spacing w:val="19"/>
                      <w:sz w:val="15"/>
                      <w:szCs w:val="15"/>
                    </w:rPr>
                    <w:t>，</w:t>
                  </w:r>
                  <w:r>
                    <w:rPr>
                      <w:spacing w:val="-29"/>
                      <w:sz w:val="15"/>
                      <w:szCs w:val="15"/>
                    </w:rPr>
                    <w:t xml:space="preserve"> </w:t>
                  </w:r>
                  <w:r>
                    <w:rPr>
                      <w:spacing w:val="19"/>
                      <w:sz w:val="15"/>
                      <w:szCs w:val="15"/>
                    </w:rPr>
                    <w:t>东南侧以沙明线为界</w:t>
                  </w:r>
                  <w:r>
                    <w:rPr>
                      <w:spacing w:val="-22"/>
                      <w:sz w:val="15"/>
                      <w:szCs w:val="15"/>
                    </w:rPr>
                    <w:t xml:space="preserve"> </w:t>
                  </w:r>
                  <w:r>
                    <w:rPr>
                      <w:spacing w:val="19"/>
                      <w:sz w:val="15"/>
                      <w:szCs w:val="15"/>
                    </w:rPr>
                    <w:t>，</w:t>
                  </w:r>
                  <w:r>
                    <w:rPr>
                      <w:spacing w:val="-33"/>
                      <w:sz w:val="15"/>
                      <w:szCs w:val="15"/>
                    </w:rPr>
                    <w:t xml:space="preserve"> </w:t>
                  </w:r>
                  <w:r>
                    <w:rPr>
                      <w:spacing w:val="19"/>
                      <w:sz w:val="15"/>
                      <w:szCs w:val="15"/>
                    </w:rPr>
                    <w:t>南端以</w:t>
                  </w:r>
                  <w:r>
                    <w:rPr>
                      <w:sz w:val="15"/>
                      <w:szCs w:val="15"/>
                    </w:rPr>
                    <w:t xml:space="preserve">  </w:t>
                  </w:r>
                  <w:r>
                    <w:rPr>
                      <w:spacing w:val="29"/>
                      <w:sz w:val="15"/>
                      <w:szCs w:val="15"/>
                    </w:rPr>
                    <w:t>取水口为中心，半径为568米的圆弧</w:t>
                  </w:r>
                </w:p>
                <w:p w14:paraId="47F46B8C">
                  <w:pPr>
                    <w:pStyle w:val="6"/>
                    <w:spacing w:line="196" w:lineRule="auto"/>
                    <w:ind w:left="144" w:right="327"/>
                    <w:rPr>
                      <w:sz w:val="15"/>
                      <w:szCs w:val="15"/>
                    </w:rPr>
                  </w:pPr>
                  <w:r>
                    <w:rPr>
                      <w:spacing w:val="20"/>
                      <w:sz w:val="15"/>
                      <w:szCs w:val="15"/>
                    </w:rPr>
                    <w:t>为界</w:t>
                  </w:r>
                  <w:r>
                    <w:rPr>
                      <w:spacing w:val="-15"/>
                      <w:sz w:val="15"/>
                      <w:szCs w:val="15"/>
                    </w:rPr>
                    <w:t xml:space="preserve"> </w:t>
                  </w:r>
                  <w:r>
                    <w:rPr>
                      <w:spacing w:val="20"/>
                      <w:sz w:val="15"/>
                      <w:szCs w:val="15"/>
                    </w:rPr>
                    <w:t>，</w:t>
                  </w:r>
                  <w:r>
                    <w:rPr>
                      <w:spacing w:val="-30"/>
                      <w:sz w:val="15"/>
                      <w:szCs w:val="15"/>
                    </w:rPr>
                    <w:t xml:space="preserve"> </w:t>
                  </w:r>
                  <w:r>
                    <w:rPr>
                      <w:spacing w:val="20"/>
                      <w:sz w:val="15"/>
                      <w:szCs w:val="15"/>
                    </w:rPr>
                    <w:t>西侧由北向南以青五线</w:t>
                  </w:r>
                  <w:r>
                    <w:rPr>
                      <w:spacing w:val="-23"/>
                      <w:sz w:val="15"/>
                      <w:szCs w:val="15"/>
                    </w:rPr>
                    <w:t xml:space="preserve"> </w:t>
                  </w:r>
                  <w:r>
                    <w:rPr>
                      <w:spacing w:val="20"/>
                      <w:sz w:val="15"/>
                      <w:szCs w:val="15"/>
                    </w:rPr>
                    <w:t>、</w:t>
                  </w:r>
                  <w:r>
                    <w:rPr>
                      <w:spacing w:val="-27"/>
                      <w:sz w:val="15"/>
                      <w:szCs w:val="15"/>
                    </w:rPr>
                    <w:t xml:space="preserve"> </w:t>
                  </w:r>
                  <w:r>
                    <w:rPr>
                      <w:spacing w:val="20"/>
                      <w:sz w:val="15"/>
                      <w:szCs w:val="15"/>
                    </w:rPr>
                    <w:t>乡村</w:t>
                  </w:r>
                  <w:r>
                    <w:rPr>
                      <w:sz w:val="15"/>
                      <w:szCs w:val="15"/>
                    </w:rPr>
                    <w:t xml:space="preserve"> </w:t>
                  </w:r>
                  <w:r>
                    <w:rPr>
                      <w:spacing w:val="31"/>
                      <w:sz w:val="15"/>
                      <w:szCs w:val="15"/>
                    </w:rPr>
                    <w:t>道路、山脊线为界，南端与圆弧相交</w:t>
                  </w:r>
                  <w:r>
                    <w:rPr>
                      <w:spacing w:val="9"/>
                      <w:sz w:val="15"/>
                      <w:szCs w:val="15"/>
                    </w:rPr>
                    <w:t xml:space="preserve"> </w:t>
                  </w:r>
                  <w:r>
                    <w:rPr>
                      <w:spacing w:val="17"/>
                      <w:sz w:val="15"/>
                      <w:szCs w:val="15"/>
                    </w:rPr>
                    <w:t>面积2</w:t>
                  </w:r>
                  <w:r>
                    <w:rPr>
                      <w:spacing w:val="-36"/>
                      <w:sz w:val="15"/>
                      <w:szCs w:val="15"/>
                    </w:rPr>
                    <w:t xml:space="preserve"> </w:t>
                  </w:r>
                  <w:r>
                    <w:rPr>
                      <w:spacing w:val="17"/>
                      <w:sz w:val="15"/>
                      <w:szCs w:val="15"/>
                    </w:rPr>
                    <w:t>.</w:t>
                  </w:r>
                  <w:r>
                    <w:rPr>
                      <w:spacing w:val="-41"/>
                      <w:sz w:val="15"/>
                      <w:szCs w:val="15"/>
                    </w:rPr>
                    <w:t xml:space="preserve"> </w:t>
                  </w:r>
                  <w:r>
                    <w:rPr>
                      <w:spacing w:val="17"/>
                      <w:sz w:val="15"/>
                      <w:szCs w:val="15"/>
                    </w:rPr>
                    <w:t>0865平方千米。</w:t>
                  </w:r>
                </w:p>
              </w:tc>
            </w:tr>
          </w:tbl>
          <w:p w14:paraId="1313E352">
            <w:pPr>
              <w:spacing w:line="189" w:lineRule="exact"/>
              <w:rPr>
                <w:rFonts w:ascii="Arial"/>
                <w:sz w:val="16"/>
              </w:rPr>
            </w:pPr>
          </w:p>
        </w:tc>
      </w:tr>
    </w:tbl>
    <w:p w14:paraId="67D44F86">
      <w:pPr>
        <w:spacing w:before="157" w:line="219" w:lineRule="auto"/>
        <w:ind w:left="4543"/>
        <w:rPr>
          <w:rFonts w:ascii="宋体" w:hAnsi="宋体" w:eastAsia="宋体" w:cs="宋体"/>
          <w:sz w:val="26"/>
          <w:szCs w:val="26"/>
        </w:rPr>
      </w:pPr>
      <w:r>
        <w:rPr>
          <w:rFonts w:ascii="宋体" w:hAnsi="宋体" w:eastAsia="宋体" w:cs="宋体"/>
          <w:b/>
          <w:bCs/>
          <w:spacing w:val="-18"/>
          <w:sz w:val="26"/>
          <w:szCs w:val="26"/>
        </w:rPr>
        <w:t>图2-1</w:t>
      </w:r>
      <w:r>
        <w:rPr>
          <w:rFonts w:ascii="宋体" w:hAnsi="宋体" w:eastAsia="宋体" w:cs="宋体"/>
          <w:spacing w:val="90"/>
          <w:sz w:val="26"/>
          <w:szCs w:val="26"/>
        </w:rPr>
        <w:t xml:space="preserve"> </w:t>
      </w:r>
      <w:r>
        <w:rPr>
          <w:rFonts w:ascii="宋体" w:hAnsi="宋体" w:eastAsia="宋体" w:cs="宋体"/>
          <w:b/>
          <w:bCs/>
          <w:spacing w:val="-18"/>
          <w:sz w:val="26"/>
          <w:szCs w:val="26"/>
        </w:rPr>
        <w:t>包头市石拐区水源地保护区划分图</w:t>
      </w:r>
    </w:p>
    <w:p w14:paraId="2026AF58">
      <w:pPr>
        <w:spacing w:line="219" w:lineRule="auto"/>
        <w:rPr>
          <w:rFonts w:ascii="宋体" w:hAnsi="宋体" w:eastAsia="宋体" w:cs="宋体"/>
          <w:sz w:val="26"/>
          <w:szCs w:val="26"/>
        </w:rPr>
        <w:sectPr>
          <w:footerReference r:id="rId58" w:type="default"/>
          <w:pgSz w:w="16850" w:h="11910"/>
          <w:pgMar w:top="1012" w:right="1299" w:bottom="400" w:left="2060" w:header="0" w:footer="0" w:gutter="0"/>
          <w:cols w:space="720" w:num="1"/>
        </w:sectPr>
      </w:pPr>
    </w:p>
    <w:p w14:paraId="74B74B16">
      <w:pPr>
        <w:spacing w:line="242" w:lineRule="auto"/>
        <w:rPr>
          <w:rFonts w:ascii="Arial"/>
          <w:sz w:val="21"/>
        </w:rPr>
      </w:pPr>
    </w:p>
    <w:p w14:paraId="6DCE7DE9">
      <w:pPr>
        <w:spacing w:line="242" w:lineRule="auto"/>
        <w:rPr>
          <w:rFonts w:ascii="Arial"/>
          <w:sz w:val="21"/>
        </w:rPr>
      </w:pPr>
    </w:p>
    <w:p w14:paraId="1EDF1F46">
      <w:pPr>
        <w:spacing w:line="243" w:lineRule="auto"/>
        <w:rPr>
          <w:rFonts w:ascii="Arial"/>
          <w:sz w:val="21"/>
        </w:rPr>
      </w:pPr>
    </w:p>
    <w:p w14:paraId="262E2715">
      <w:pPr>
        <w:spacing w:before="81" w:line="219" w:lineRule="auto"/>
        <w:ind w:left="4878"/>
        <w:rPr>
          <w:rFonts w:ascii="宋体" w:hAnsi="宋体" w:eastAsia="宋体" w:cs="宋体"/>
          <w:sz w:val="25"/>
          <w:szCs w:val="25"/>
        </w:rPr>
      </w:pPr>
      <w:r>
        <w:rPr>
          <w:rFonts w:ascii="宋体" w:hAnsi="宋体" w:eastAsia="宋体" w:cs="宋体"/>
          <w:b/>
          <w:bCs/>
          <w:spacing w:val="-3"/>
          <w:sz w:val="25"/>
          <w:szCs w:val="25"/>
        </w:rPr>
        <w:t>表2-3石拐区地下水水源地保护区基本情</w:t>
      </w:r>
      <w:r>
        <w:rPr>
          <w:rFonts w:ascii="宋体" w:hAnsi="宋体" w:eastAsia="宋体" w:cs="宋体"/>
          <w:b/>
          <w:bCs/>
          <w:spacing w:val="-4"/>
          <w:sz w:val="25"/>
          <w:szCs w:val="25"/>
        </w:rPr>
        <w:t>况表</w:t>
      </w:r>
    </w:p>
    <w:p w14:paraId="6B71276B">
      <w:pPr>
        <w:spacing w:line="83" w:lineRule="exact"/>
      </w:pPr>
    </w:p>
    <w:tbl>
      <w:tblPr>
        <w:tblStyle w:val="5"/>
        <w:tblW w:w="148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710"/>
        <w:gridCol w:w="709"/>
        <w:gridCol w:w="710"/>
        <w:gridCol w:w="570"/>
        <w:gridCol w:w="849"/>
        <w:gridCol w:w="710"/>
        <w:gridCol w:w="709"/>
        <w:gridCol w:w="849"/>
        <w:gridCol w:w="710"/>
        <w:gridCol w:w="709"/>
        <w:gridCol w:w="699"/>
        <w:gridCol w:w="570"/>
        <w:gridCol w:w="2408"/>
        <w:gridCol w:w="2378"/>
        <w:gridCol w:w="440"/>
        <w:gridCol w:w="575"/>
      </w:tblGrid>
      <w:tr w14:paraId="752CA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555" w:type="dxa"/>
            <w:vMerge w:val="restart"/>
            <w:tcBorders>
              <w:bottom w:val="nil"/>
            </w:tcBorders>
            <w:textDirection w:val="tbRlV"/>
            <w:vAlign w:val="top"/>
          </w:tcPr>
          <w:p w14:paraId="204302E3">
            <w:pPr>
              <w:pStyle w:val="6"/>
              <w:spacing w:before="177" w:line="204" w:lineRule="auto"/>
              <w:ind w:left="602"/>
              <w:rPr>
                <w:sz w:val="24"/>
                <w:szCs w:val="24"/>
              </w:rPr>
            </w:pPr>
            <w:r>
              <w:rPr>
                <w:sz w:val="24"/>
                <w:szCs w:val="24"/>
              </w:rPr>
              <w:t>旗</w:t>
            </w:r>
            <w:r>
              <w:rPr>
                <w:spacing w:val="-21"/>
                <w:sz w:val="24"/>
                <w:szCs w:val="24"/>
              </w:rPr>
              <w:t xml:space="preserve"> </w:t>
            </w:r>
            <w:r>
              <w:rPr>
                <w:sz w:val="24"/>
                <w:szCs w:val="24"/>
              </w:rPr>
              <w:t>县</w:t>
            </w:r>
            <w:r>
              <w:rPr>
                <w:spacing w:val="-21"/>
                <w:sz w:val="24"/>
                <w:szCs w:val="24"/>
              </w:rPr>
              <w:t xml:space="preserve"> </w:t>
            </w:r>
            <w:r>
              <w:rPr>
                <w:sz w:val="24"/>
                <w:szCs w:val="24"/>
              </w:rPr>
              <w:t>名</w:t>
            </w:r>
            <w:r>
              <w:rPr>
                <w:spacing w:val="-20"/>
                <w:sz w:val="24"/>
                <w:szCs w:val="24"/>
              </w:rPr>
              <w:t xml:space="preserve"> </w:t>
            </w:r>
            <w:r>
              <w:rPr>
                <w:sz w:val="24"/>
                <w:szCs w:val="24"/>
              </w:rPr>
              <w:t>称</w:t>
            </w:r>
          </w:p>
        </w:tc>
        <w:tc>
          <w:tcPr>
            <w:tcW w:w="710" w:type="dxa"/>
            <w:vMerge w:val="restart"/>
            <w:tcBorders>
              <w:bottom w:val="nil"/>
            </w:tcBorders>
            <w:vAlign w:val="top"/>
          </w:tcPr>
          <w:p w14:paraId="53450229">
            <w:pPr>
              <w:spacing w:line="292" w:lineRule="auto"/>
              <w:rPr>
                <w:rFonts w:ascii="Arial"/>
                <w:sz w:val="21"/>
              </w:rPr>
            </w:pPr>
          </w:p>
          <w:p w14:paraId="67B55E05">
            <w:pPr>
              <w:spacing w:line="293" w:lineRule="auto"/>
              <w:rPr>
                <w:rFonts w:ascii="Arial"/>
                <w:sz w:val="21"/>
              </w:rPr>
            </w:pPr>
          </w:p>
          <w:p w14:paraId="4F44CA3B">
            <w:pPr>
              <w:spacing w:line="293" w:lineRule="auto"/>
              <w:rPr>
                <w:rFonts w:ascii="Arial"/>
                <w:sz w:val="21"/>
              </w:rPr>
            </w:pPr>
          </w:p>
          <w:p w14:paraId="184A3F4B">
            <w:pPr>
              <w:pStyle w:val="6"/>
              <w:spacing w:before="78" w:line="219" w:lineRule="auto"/>
              <w:ind w:left="103"/>
              <w:rPr>
                <w:sz w:val="24"/>
                <w:szCs w:val="24"/>
              </w:rPr>
            </w:pPr>
            <w:r>
              <w:rPr>
                <w:b/>
                <w:bCs/>
                <w:spacing w:val="-6"/>
                <w:sz w:val="24"/>
                <w:szCs w:val="24"/>
              </w:rPr>
              <w:t>水源</w:t>
            </w:r>
          </w:p>
          <w:p w14:paraId="49D03A81">
            <w:pPr>
              <w:pStyle w:val="6"/>
              <w:spacing w:before="28" w:line="221" w:lineRule="auto"/>
              <w:ind w:left="103"/>
              <w:rPr>
                <w:sz w:val="24"/>
                <w:szCs w:val="24"/>
              </w:rPr>
            </w:pPr>
            <w:r>
              <w:rPr>
                <w:b/>
                <w:bCs/>
                <w:spacing w:val="-7"/>
                <w:sz w:val="24"/>
                <w:szCs w:val="24"/>
              </w:rPr>
              <w:t>名</w:t>
            </w:r>
            <w:r>
              <w:rPr>
                <w:b/>
                <w:bCs/>
                <w:color w:val="505060"/>
                <w:spacing w:val="-7"/>
                <w:sz w:val="24"/>
                <w:szCs w:val="24"/>
              </w:rPr>
              <w:t>称</w:t>
            </w:r>
          </w:p>
        </w:tc>
        <w:tc>
          <w:tcPr>
            <w:tcW w:w="709" w:type="dxa"/>
            <w:vMerge w:val="restart"/>
            <w:tcBorders>
              <w:bottom w:val="nil"/>
            </w:tcBorders>
            <w:vAlign w:val="top"/>
          </w:tcPr>
          <w:p w14:paraId="36A439D6">
            <w:pPr>
              <w:spacing w:line="294" w:lineRule="auto"/>
              <w:rPr>
                <w:rFonts w:ascii="Arial"/>
                <w:sz w:val="21"/>
              </w:rPr>
            </w:pPr>
          </w:p>
          <w:p w14:paraId="05D24E3A">
            <w:pPr>
              <w:spacing w:line="294" w:lineRule="auto"/>
              <w:rPr>
                <w:rFonts w:ascii="Arial"/>
                <w:sz w:val="21"/>
              </w:rPr>
            </w:pPr>
          </w:p>
          <w:p w14:paraId="58626867">
            <w:pPr>
              <w:spacing w:line="294" w:lineRule="auto"/>
              <w:rPr>
                <w:rFonts w:ascii="Arial"/>
                <w:sz w:val="21"/>
              </w:rPr>
            </w:pPr>
          </w:p>
          <w:p w14:paraId="56C7D4AF">
            <w:pPr>
              <w:pStyle w:val="6"/>
              <w:spacing w:before="78" w:line="220" w:lineRule="auto"/>
              <w:ind w:left="100"/>
              <w:rPr>
                <w:sz w:val="24"/>
                <w:szCs w:val="24"/>
              </w:rPr>
            </w:pPr>
            <w:r>
              <w:rPr>
                <w:color w:val="305040"/>
                <w:spacing w:val="-5"/>
                <w:sz w:val="24"/>
                <w:szCs w:val="24"/>
              </w:rPr>
              <w:t>所</w:t>
            </w:r>
            <w:r>
              <w:rPr>
                <w:spacing w:val="-5"/>
                <w:sz w:val="24"/>
                <w:szCs w:val="24"/>
              </w:rPr>
              <w:t>在</w:t>
            </w:r>
          </w:p>
          <w:p w14:paraId="58B007F4">
            <w:pPr>
              <w:pStyle w:val="6"/>
              <w:spacing w:before="19" w:line="219" w:lineRule="auto"/>
              <w:ind w:left="103"/>
              <w:rPr>
                <w:sz w:val="24"/>
                <w:szCs w:val="24"/>
              </w:rPr>
            </w:pPr>
            <w:r>
              <w:rPr>
                <w:b/>
                <w:bCs/>
                <w:spacing w:val="-8"/>
                <w:sz w:val="24"/>
                <w:szCs w:val="24"/>
              </w:rPr>
              <w:t>乡</w:t>
            </w:r>
            <w:r>
              <w:rPr>
                <w:b/>
                <w:bCs/>
                <w:color w:val="504050"/>
                <w:spacing w:val="-8"/>
                <w:sz w:val="24"/>
                <w:szCs w:val="24"/>
              </w:rPr>
              <w:t>镇</w:t>
            </w:r>
          </w:p>
        </w:tc>
        <w:tc>
          <w:tcPr>
            <w:tcW w:w="710" w:type="dxa"/>
            <w:vMerge w:val="restart"/>
            <w:tcBorders>
              <w:bottom w:val="nil"/>
            </w:tcBorders>
            <w:vAlign w:val="top"/>
          </w:tcPr>
          <w:p w14:paraId="3AAF6658">
            <w:pPr>
              <w:spacing w:line="293" w:lineRule="auto"/>
              <w:rPr>
                <w:rFonts w:ascii="Arial"/>
                <w:sz w:val="21"/>
              </w:rPr>
            </w:pPr>
          </w:p>
          <w:p w14:paraId="77CA9521">
            <w:pPr>
              <w:spacing w:line="294" w:lineRule="auto"/>
              <w:rPr>
                <w:rFonts w:ascii="Arial"/>
                <w:sz w:val="21"/>
              </w:rPr>
            </w:pPr>
          </w:p>
          <w:p w14:paraId="314BFC92">
            <w:pPr>
              <w:spacing w:line="294" w:lineRule="auto"/>
              <w:rPr>
                <w:rFonts w:ascii="Arial"/>
                <w:sz w:val="21"/>
              </w:rPr>
            </w:pPr>
          </w:p>
          <w:p w14:paraId="4A529AB4">
            <w:pPr>
              <w:pStyle w:val="6"/>
              <w:spacing w:before="78" w:line="219" w:lineRule="auto"/>
              <w:ind w:left="100"/>
              <w:rPr>
                <w:sz w:val="24"/>
                <w:szCs w:val="24"/>
              </w:rPr>
            </w:pPr>
            <w:r>
              <w:rPr>
                <w:color w:val="304040"/>
                <w:spacing w:val="5"/>
                <w:sz w:val="24"/>
                <w:szCs w:val="24"/>
              </w:rPr>
              <w:t>服务</w:t>
            </w:r>
          </w:p>
          <w:p w14:paraId="7AC1F087">
            <w:pPr>
              <w:pStyle w:val="6"/>
              <w:spacing w:before="38" w:line="224" w:lineRule="auto"/>
              <w:ind w:left="104"/>
              <w:rPr>
                <w:sz w:val="24"/>
                <w:szCs w:val="24"/>
              </w:rPr>
            </w:pPr>
            <w:r>
              <w:rPr>
                <w:b/>
                <w:bCs/>
                <w:spacing w:val="4"/>
                <w:sz w:val="24"/>
                <w:szCs w:val="24"/>
              </w:rPr>
              <w:t>地区</w:t>
            </w:r>
          </w:p>
        </w:tc>
        <w:tc>
          <w:tcPr>
            <w:tcW w:w="570" w:type="dxa"/>
            <w:vMerge w:val="restart"/>
            <w:tcBorders>
              <w:bottom w:val="nil"/>
            </w:tcBorders>
            <w:textDirection w:val="tbRlV"/>
            <w:vAlign w:val="top"/>
          </w:tcPr>
          <w:p w14:paraId="02E32931">
            <w:pPr>
              <w:pStyle w:val="6"/>
              <w:spacing w:before="179" w:line="200" w:lineRule="auto"/>
              <w:ind w:left="457"/>
              <w:rPr>
                <w:sz w:val="24"/>
                <w:szCs w:val="24"/>
              </w:rPr>
            </w:pPr>
            <w:r>
              <w:rPr>
                <w:sz w:val="24"/>
                <w:szCs w:val="24"/>
              </w:rPr>
              <w:t>取</w:t>
            </w:r>
            <w:r>
              <w:rPr>
                <w:spacing w:val="-35"/>
                <w:sz w:val="24"/>
                <w:szCs w:val="24"/>
              </w:rPr>
              <w:t xml:space="preserve"> </w:t>
            </w:r>
            <w:r>
              <w:rPr>
                <w:sz w:val="24"/>
                <w:szCs w:val="24"/>
              </w:rPr>
              <w:t>水</w:t>
            </w:r>
            <w:r>
              <w:rPr>
                <w:spacing w:val="-35"/>
                <w:sz w:val="24"/>
                <w:szCs w:val="24"/>
              </w:rPr>
              <w:t xml:space="preserve"> </w:t>
            </w:r>
            <w:r>
              <w:rPr>
                <w:sz w:val="24"/>
                <w:szCs w:val="24"/>
              </w:rPr>
              <w:t>井</w:t>
            </w:r>
            <w:r>
              <w:rPr>
                <w:spacing w:val="-35"/>
                <w:sz w:val="24"/>
                <w:szCs w:val="24"/>
              </w:rPr>
              <w:t xml:space="preserve"> </w:t>
            </w:r>
            <w:r>
              <w:rPr>
                <w:sz w:val="24"/>
                <w:szCs w:val="24"/>
              </w:rPr>
              <w:t>个</w:t>
            </w:r>
            <w:r>
              <w:rPr>
                <w:spacing w:val="-35"/>
                <w:sz w:val="24"/>
                <w:szCs w:val="24"/>
              </w:rPr>
              <w:t xml:space="preserve"> </w:t>
            </w:r>
            <w:r>
              <w:rPr>
                <w:sz w:val="24"/>
                <w:szCs w:val="24"/>
              </w:rPr>
              <w:t>数</w:t>
            </w:r>
          </w:p>
        </w:tc>
        <w:tc>
          <w:tcPr>
            <w:tcW w:w="849" w:type="dxa"/>
            <w:vMerge w:val="restart"/>
            <w:tcBorders>
              <w:bottom w:val="nil"/>
            </w:tcBorders>
            <w:vAlign w:val="top"/>
          </w:tcPr>
          <w:p w14:paraId="1EEC82E6">
            <w:pPr>
              <w:spacing w:line="294" w:lineRule="auto"/>
              <w:rPr>
                <w:rFonts w:ascii="Arial"/>
                <w:sz w:val="21"/>
              </w:rPr>
            </w:pPr>
          </w:p>
          <w:p w14:paraId="33283270">
            <w:pPr>
              <w:spacing w:line="294" w:lineRule="auto"/>
              <w:rPr>
                <w:rFonts w:ascii="Arial"/>
                <w:sz w:val="21"/>
              </w:rPr>
            </w:pPr>
          </w:p>
          <w:p w14:paraId="7D828C5F">
            <w:pPr>
              <w:spacing w:line="294" w:lineRule="auto"/>
              <w:rPr>
                <w:rFonts w:ascii="Arial"/>
                <w:sz w:val="21"/>
              </w:rPr>
            </w:pPr>
          </w:p>
          <w:p w14:paraId="1BE3CD37">
            <w:pPr>
              <w:pStyle w:val="6"/>
              <w:spacing w:before="78" w:line="220" w:lineRule="auto"/>
              <w:ind w:left="170"/>
              <w:rPr>
                <w:sz w:val="24"/>
                <w:szCs w:val="24"/>
              </w:rPr>
            </w:pPr>
            <w:r>
              <w:rPr>
                <w:color w:val="506060"/>
                <w:spacing w:val="-5"/>
                <w:sz w:val="24"/>
                <w:szCs w:val="24"/>
              </w:rPr>
              <w:t>井</w:t>
            </w:r>
            <w:r>
              <w:rPr>
                <w:spacing w:val="-5"/>
                <w:sz w:val="24"/>
                <w:szCs w:val="24"/>
              </w:rPr>
              <w:t>深</w:t>
            </w:r>
          </w:p>
          <w:p w14:paraId="7C769B90">
            <w:pPr>
              <w:pStyle w:val="6"/>
              <w:spacing w:before="27" w:line="222" w:lineRule="auto"/>
              <w:ind w:left="230"/>
              <w:rPr>
                <w:sz w:val="24"/>
                <w:szCs w:val="24"/>
              </w:rPr>
            </w:pPr>
            <w:r>
              <w:rPr>
                <w:spacing w:val="-12"/>
                <w:sz w:val="24"/>
                <w:szCs w:val="24"/>
              </w:rPr>
              <w:t>(m)</w:t>
            </w:r>
          </w:p>
        </w:tc>
        <w:tc>
          <w:tcPr>
            <w:tcW w:w="710" w:type="dxa"/>
            <w:vMerge w:val="restart"/>
            <w:tcBorders>
              <w:bottom w:val="nil"/>
            </w:tcBorders>
            <w:vAlign w:val="top"/>
          </w:tcPr>
          <w:p w14:paraId="5F5BA789">
            <w:pPr>
              <w:spacing w:line="290" w:lineRule="auto"/>
              <w:rPr>
                <w:rFonts w:ascii="Arial"/>
                <w:sz w:val="21"/>
              </w:rPr>
            </w:pPr>
          </w:p>
          <w:p w14:paraId="401998A1">
            <w:pPr>
              <w:spacing w:line="291" w:lineRule="auto"/>
              <w:rPr>
                <w:rFonts w:ascii="Arial"/>
                <w:sz w:val="21"/>
              </w:rPr>
            </w:pPr>
          </w:p>
          <w:p w14:paraId="34F86566">
            <w:pPr>
              <w:spacing w:line="291" w:lineRule="auto"/>
              <w:rPr>
                <w:rFonts w:ascii="Arial"/>
                <w:sz w:val="21"/>
              </w:rPr>
            </w:pPr>
          </w:p>
          <w:p w14:paraId="3D5962F0">
            <w:pPr>
              <w:pStyle w:val="6"/>
              <w:spacing w:before="78" w:line="243" w:lineRule="auto"/>
              <w:ind w:left="101" w:right="94"/>
              <w:rPr>
                <w:sz w:val="24"/>
                <w:szCs w:val="24"/>
              </w:rPr>
            </w:pPr>
            <w:r>
              <w:rPr>
                <w:color w:val="405050"/>
                <w:spacing w:val="-5"/>
                <w:sz w:val="24"/>
                <w:szCs w:val="24"/>
              </w:rPr>
              <w:t>成</w:t>
            </w:r>
            <w:r>
              <w:rPr>
                <w:spacing w:val="-5"/>
                <w:sz w:val="24"/>
                <w:szCs w:val="24"/>
              </w:rPr>
              <w:t>井</w:t>
            </w:r>
            <w:r>
              <w:rPr>
                <w:sz w:val="24"/>
                <w:szCs w:val="24"/>
              </w:rPr>
              <w:t xml:space="preserve"> </w:t>
            </w:r>
            <w:r>
              <w:rPr>
                <w:spacing w:val="11"/>
                <w:sz w:val="24"/>
                <w:szCs w:val="24"/>
              </w:rPr>
              <w:t>时间</w:t>
            </w:r>
          </w:p>
        </w:tc>
        <w:tc>
          <w:tcPr>
            <w:tcW w:w="709" w:type="dxa"/>
            <w:vMerge w:val="restart"/>
            <w:tcBorders>
              <w:bottom w:val="nil"/>
            </w:tcBorders>
            <w:vAlign w:val="top"/>
          </w:tcPr>
          <w:p w14:paraId="5837D893">
            <w:pPr>
              <w:spacing w:line="290" w:lineRule="auto"/>
              <w:rPr>
                <w:rFonts w:ascii="Arial"/>
                <w:sz w:val="21"/>
              </w:rPr>
            </w:pPr>
          </w:p>
          <w:p w14:paraId="7588C1FA">
            <w:pPr>
              <w:spacing w:line="290" w:lineRule="auto"/>
              <w:rPr>
                <w:rFonts w:ascii="Arial"/>
                <w:sz w:val="21"/>
              </w:rPr>
            </w:pPr>
          </w:p>
          <w:p w14:paraId="326DA62F">
            <w:pPr>
              <w:spacing w:line="291" w:lineRule="auto"/>
              <w:rPr>
                <w:rFonts w:ascii="Arial"/>
                <w:sz w:val="21"/>
              </w:rPr>
            </w:pPr>
          </w:p>
          <w:p w14:paraId="17E0FB80">
            <w:pPr>
              <w:pStyle w:val="6"/>
              <w:spacing w:before="78" w:line="219" w:lineRule="auto"/>
              <w:ind w:left="102"/>
              <w:rPr>
                <w:sz w:val="24"/>
                <w:szCs w:val="24"/>
              </w:rPr>
            </w:pPr>
            <w:r>
              <w:rPr>
                <w:spacing w:val="5"/>
                <w:sz w:val="24"/>
                <w:szCs w:val="24"/>
              </w:rPr>
              <w:t>埋藏</w:t>
            </w:r>
          </w:p>
          <w:p w14:paraId="4327E32F">
            <w:pPr>
              <w:pStyle w:val="6"/>
              <w:spacing w:before="25" w:line="219" w:lineRule="auto"/>
              <w:ind w:left="102"/>
              <w:rPr>
                <w:sz w:val="24"/>
                <w:szCs w:val="24"/>
              </w:rPr>
            </w:pPr>
            <w:r>
              <w:rPr>
                <w:color w:val="405050"/>
                <w:spacing w:val="-5"/>
                <w:sz w:val="24"/>
                <w:szCs w:val="24"/>
              </w:rPr>
              <w:t>条</w:t>
            </w:r>
            <w:r>
              <w:rPr>
                <w:color w:val="606060"/>
                <w:spacing w:val="-5"/>
                <w:sz w:val="24"/>
                <w:szCs w:val="24"/>
              </w:rPr>
              <w:t>件</w:t>
            </w:r>
          </w:p>
        </w:tc>
        <w:tc>
          <w:tcPr>
            <w:tcW w:w="849" w:type="dxa"/>
            <w:vMerge w:val="restart"/>
            <w:tcBorders>
              <w:bottom w:val="nil"/>
            </w:tcBorders>
            <w:vAlign w:val="top"/>
          </w:tcPr>
          <w:p w14:paraId="5F453D7C">
            <w:pPr>
              <w:spacing w:line="356" w:lineRule="auto"/>
              <w:rPr>
                <w:rFonts w:ascii="Arial"/>
                <w:sz w:val="21"/>
              </w:rPr>
            </w:pPr>
          </w:p>
          <w:p w14:paraId="6D246712">
            <w:pPr>
              <w:spacing w:line="356" w:lineRule="auto"/>
              <w:rPr>
                <w:rFonts w:ascii="Arial"/>
                <w:sz w:val="21"/>
              </w:rPr>
            </w:pPr>
          </w:p>
          <w:p w14:paraId="1752EA37">
            <w:pPr>
              <w:pStyle w:val="6"/>
              <w:spacing w:before="78" w:line="219" w:lineRule="auto"/>
              <w:ind w:left="173"/>
              <w:rPr>
                <w:sz w:val="24"/>
                <w:szCs w:val="24"/>
              </w:rPr>
            </w:pPr>
            <w:r>
              <w:rPr>
                <w:spacing w:val="5"/>
                <w:sz w:val="24"/>
                <w:szCs w:val="24"/>
              </w:rPr>
              <w:t>含水</w:t>
            </w:r>
          </w:p>
          <w:p w14:paraId="5C767685">
            <w:pPr>
              <w:pStyle w:val="6"/>
              <w:spacing w:before="45" w:line="219" w:lineRule="auto"/>
              <w:ind w:left="173"/>
              <w:rPr>
                <w:sz w:val="24"/>
                <w:szCs w:val="24"/>
              </w:rPr>
            </w:pPr>
            <w:r>
              <w:rPr>
                <w:spacing w:val="-3"/>
                <w:sz w:val="24"/>
                <w:szCs w:val="24"/>
              </w:rPr>
              <w:t>层类</w:t>
            </w:r>
          </w:p>
          <w:p w14:paraId="4FD5A411">
            <w:pPr>
              <w:pStyle w:val="6"/>
              <w:spacing w:before="15" w:line="227" w:lineRule="auto"/>
              <w:ind w:left="292"/>
              <w:rPr>
                <w:sz w:val="24"/>
                <w:szCs w:val="24"/>
              </w:rPr>
            </w:pPr>
            <w:r>
              <w:rPr>
                <w:sz w:val="24"/>
                <w:szCs w:val="24"/>
              </w:rPr>
              <w:t>型</w:t>
            </w:r>
          </w:p>
        </w:tc>
        <w:tc>
          <w:tcPr>
            <w:tcW w:w="710" w:type="dxa"/>
            <w:vMerge w:val="restart"/>
            <w:tcBorders>
              <w:bottom w:val="nil"/>
            </w:tcBorders>
            <w:vAlign w:val="top"/>
          </w:tcPr>
          <w:p w14:paraId="0458716C">
            <w:pPr>
              <w:spacing w:line="241" w:lineRule="auto"/>
              <w:rPr>
                <w:rFonts w:ascii="Arial"/>
                <w:sz w:val="21"/>
              </w:rPr>
            </w:pPr>
          </w:p>
          <w:p w14:paraId="1E609BAB">
            <w:pPr>
              <w:spacing w:line="241" w:lineRule="auto"/>
              <w:rPr>
                <w:rFonts w:ascii="Arial"/>
                <w:sz w:val="21"/>
              </w:rPr>
            </w:pPr>
          </w:p>
          <w:p w14:paraId="5E7996DA">
            <w:pPr>
              <w:spacing w:line="241" w:lineRule="auto"/>
              <w:rPr>
                <w:rFonts w:ascii="Arial"/>
                <w:sz w:val="21"/>
              </w:rPr>
            </w:pPr>
          </w:p>
          <w:p w14:paraId="6635CF39">
            <w:pPr>
              <w:pStyle w:val="6"/>
              <w:spacing w:before="78" w:line="221" w:lineRule="auto"/>
              <w:ind w:left="104"/>
              <w:rPr>
                <w:sz w:val="24"/>
                <w:szCs w:val="24"/>
              </w:rPr>
            </w:pPr>
            <w:r>
              <w:rPr>
                <w:spacing w:val="-5"/>
                <w:sz w:val="24"/>
                <w:szCs w:val="24"/>
              </w:rPr>
              <w:t>设</w:t>
            </w:r>
            <w:r>
              <w:rPr>
                <w:color w:val="404040"/>
                <w:spacing w:val="-5"/>
                <w:sz w:val="24"/>
                <w:szCs w:val="24"/>
              </w:rPr>
              <w:t>计</w:t>
            </w:r>
          </w:p>
          <w:p w14:paraId="22A3D027">
            <w:pPr>
              <w:pStyle w:val="6"/>
              <w:spacing w:before="31" w:line="219" w:lineRule="auto"/>
              <w:ind w:left="104"/>
              <w:rPr>
                <w:sz w:val="24"/>
                <w:szCs w:val="24"/>
              </w:rPr>
            </w:pPr>
            <w:r>
              <w:rPr>
                <w:spacing w:val="5"/>
                <w:sz w:val="24"/>
                <w:szCs w:val="24"/>
              </w:rPr>
              <w:t>取水</w:t>
            </w:r>
          </w:p>
          <w:p w14:paraId="4D6E3D5C">
            <w:pPr>
              <w:pStyle w:val="6"/>
              <w:spacing w:before="12" w:line="225" w:lineRule="auto"/>
              <w:ind w:left="223"/>
              <w:rPr>
                <w:sz w:val="24"/>
                <w:szCs w:val="24"/>
              </w:rPr>
            </w:pPr>
            <w:r>
              <w:rPr>
                <w:sz w:val="24"/>
                <w:szCs w:val="24"/>
              </w:rPr>
              <w:t>量</w:t>
            </w:r>
          </w:p>
        </w:tc>
        <w:tc>
          <w:tcPr>
            <w:tcW w:w="709" w:type="dxa"/>
            <w:vMerge w:val="restart"/>
            <w:tcBorders>
              <w:bottom w:val="nil"/>
            </w:tcBorders>
            <w:vAlign w:val="top"/>
          </w:tcPr>
          <w:p w14:paraId="589EFAFA">
            <w:pPr>
              <w:spacing w:line="351" w:lineRule="auto"/>
              <w:rPr>
                <w:rFonts w:ascii="Arial"/>
                <w:sz w:val="21"/>
              </w:rPr>
            </w:pPr>
          </w:p>
          <w:p w14:paraId="6A1D2386">
            <w:pPr>
              <w:spacing w:line="352" w:lineRule="auto"/>
              <w:rPr>
                <w:rFonts w:ascii="Arial"/>
                <w:sz w:val="21"/>
              </w:rPr>
            </w:pPr>
          </w:p>
          <w:p w14:paraId="6BEAF3B0">
            <w:pPr>
              <w:pStyle w:val="6"/>
              <w:spacing w:before="78" w:line="220" w:lineRule="auto"/>
              <w:ind w:left="104"/>
              <w:rPr>
                <w:sz w:val="24"/>
                <w:szCs w:val="24"/>
              </w:rPr>
            </w:pPr>
            <w:r>
              <w:rPr>
                <w:spacing w:val="5"/>
                <w:sz w:val="24"/>
                <w:szCs w:val="24"/>
              </w:rPr>
              <w:t>实际</w:t>
            </w:r>
          </w:p>
          <w:p w14:paraId="1FE2D3E2">
            <w:pPr>
              <w:pStyle w:val="6"/>
              <w:spacing w:before="42" w:line="234" w:lineRule="auto"/>
              <w:ind w:left="223" w:right="103" w:hanging="119"/>
              <w:rPr>
                <w:sz w:val="24"/>
                <w:szCs w:val="24"/>
              </w:rPr>
            </w:pPr>
            <w:r>
              <w:rPr>
                <w:spacing w:val="5"/>
                <w:sz w:val="24"/>
                <w:szCs w:val="24"/>
              </w:rPr>
              <w:t>取水</w:t>
            </w:r>
            <w:r>
              <w:rPr>
                <w:sz w:val="24"/>
                <w:szCs w:val="24"/>
              </w:rPr>
              <w:t xml:space="preserve"> 量</w:t>
            </w:r>
          </w:p>
        </w:tc>
        <w:tc>
          <w:tcPr>
            <w:tcW w:w="699" w:type="dxa"/>
            <w:vMerge w:val="restart"/>
            <w:tcBorders>
              <w:bottom w:val="nil"/>
            </w:tcBorders>
            <w:vAlign w:val="top"/>
          </w:tcPr>
          <w:p w14:paraId="50AE92CC">
            <w:pPr>
              <w:spacing w:line="287" w:lineRule="auto"/>
              <w:rPr>
                <w:rFonts w:ascii="Arial"/>
                <w:sz w:val="21"/>
              </w:rPr>
            </w:pPr>
          </w:p>
          <w:p w14:paraId="3B4992EF">
            <w:pPr>
              <w:spacing w:line="287" w:lineRule="auto"/>
              <w:rPr>
                <w:rFonts w:ascii="Arial"/>
                <w:sz w:val="21"/>
              </w:rPr>
            </w:pPr>
          </w:p>
          <w:p w14:paraId="111C7EB9">
            <w:pPr>
              <w:spacing w:line="287" w:lineRule="auto"/>
              <w:rPr>
                <w:rFonts w:ascii="Arial"/>
                <w:sz w:val="21"/>
              </w:rPr>
            </w:pPr>
          </w:p>
          <w:p w14:paraId="3AB4FA8B">
            <w:pPr>
              <w:pStyle w:val="6"/>
              <w:spacing w:before="78" w:line="245" w:lineRule="auto"/>
              <w:ind w:left="104" w:right="68"/>
              <w:rPr>
                <w:sz w:val="24"/>
                <w:szCs w:val="24"/>
              </w:rPr>
            </w:pPr>
            <w:r>
              <w:rPr>
                <w:spacing w:val="5"/>
                <w:sz w:val="24"/>
                <w:szCs w:val="24"/>
              </w:rPr>
              <w:t>服务</w:t>
            </w:r>
            <w:r>
              <w:rPr>
                <w:sz w:val="24"/>
                <w:szCs w:val="24"/>
              </w:rPr>
              <w:t xml:space="preserve"> </w:t>
            </w:r>
            <w:r>
              <w:rPr>
                <w:spacing w:val="17"/>
                <w:sz w:val="24"/>
                <w:szCs w:val="24"/>
              </w:rPr>
              <w:t>人口</w:t>
            </w:r>
          </w:p>
        </w:tc>
        <w:tc>
          <w:tcPr>
            <w:tcW w:w="570" w:type="dxa"/>
            <w:vMerge w:val="restart"/>
            <w:tcBorders>
              <w:bottom w:val="nil"/>
            </w:tcBorders>
            <w:textDirection w:val="tbRlV"/>
            <w:vAlign w:val="top"/>
          </w:tcPr>
          <w:p w14:paraId="49D31D2C">
            <w:pPr>
              <w:pStyle w:val="6"/>
              <w:spacing w:before="164" w:line="199" w:lineRule="auto"/>
              <w:ind w:left="143"/>
              <w:rPr>
                <w:sz w:val="24"/>
                <w:szCs w:val="24"/>
              </w:rPr>
            </w:pPr>
            <w:r>
              <w:rPr>
                <w:sz w:val="24"/>
                <w:szCs w:val="24"/>
              </w:rPr>
              <w:t>含</w:t>
            </w:r>
            <w:r>
              <w:rPr>
                <w:spacing w:val="-36"/>
                <w:sz w:val="24"/>
                <w:szCs w:val="24"/>
              </w:rPr>
              <w:t xml:space="preserve"> </w:t>
            </w:r>
            <w:r>
              <w:rPr>
                <w:sz w:val="24"/>
                <w:szCs w:val="24"/>
              </w:rPr>
              <w:t>水</w:t>
            </w:r>
            <w:r>
              <w:rPr>
                <w:spacing w:val="-36"/>
                <w:sz w:val="24"/>
                <w:szCs w:val="24"/>
              </w:rPr>
              <w:t xml:space="preserve"> </w:t>
            </w:r>
            <w:r>
              <w:rPr>
                <w:sz w:val="24"/>
                <w:szCs w:val="24"/>
              </w:rPr>
              <w:t>层</w:t>
            </w:r>
            <w:r>
              <w:rPr>
                <w:spacing w:val="-36"/>
                <w:sz w:val="24"/>
                <w:szCs w:val="24"/>
              </w:rPr>
              <w:t xml:space="preserve"> </w:t>
            </w:r>
            <w:r>
              <w:rPr>
                <w:sz w:val="24"/>
                <w:szCs w:val="24"/>
              </w:rPr>
              <w:t>介</w:t>
            </w:r>
            <w:r>
              <w:rPr>
                <w:spacing w:val="-36"/>
                <w:sz w:val="24"/>
                <w:szCs w:val="24"/>
              </w:rPr>
              <w:t xml:space="preserve"> </w:t>
            </w:r>
            <w:r>
              <w:rPr>
                <w:sz w:val="24"/>
                <w:szCs w:val="24"/>
              </w:rPr>
              <w:t>质</w:t>
            </w:r>
            <w:r>
              <w:rPr>
                <w:spacing w:val="-35"/>
                <w:sz w:val="24"/>
                <w:szCs w:val="24"/>
              </w:rPr>
              <w:t xml:space="preserve"> </w:t>
            </w:r>
            <w:r>
              <w:rPr>
                <w:sz w:val="24"/>
                <w:szCs w:val="24"/>
              </w:rPr>
              <w:t>类</w:t>
            </w:r>
            <w:r>
              <w:rPr>
                <w:spacing w:val="-36"/>
                <w:sz w:val="24"/>
                <w:szCs w:val="24"/>
              </w:rPr>
              <w:t xml:space="preserve"> </w:t>
            </w:r>
            <w:r>
              <w:rPr>
                <w:sz w:val="24"/>
                <w:szCs w:val="24"/>
              </w:rPr>
              <w:t>型</w:t>
            </w:r>
          </w:p>
        </w:tc>
        <w:tc>
          <w:tcPr>
            <w:tcW w:w="5226" w:type="dxa"/>
            <w:gridSpan w:val="3"/>
            <w:vAlign w:val="top"/>
          </w:tcPr>
          <w:p w14:paraId="79EC4069">
            <w:pPr>
              <w:spacing w:line="411" w:lineRule="auto"/>
              <w:rPr>
                <w:rFonts w:ascii="Arial"/>
                <w:sz w:val="21"/>
              </w:rPr>
            </w:pPr>
          </w:p>
          <w:p w14:paraId="55A4A84F">
            <w:pPr>
              <w:pStyle w:val="6"/>
              <w:spacing w:before="78" w:line="219" w:lineRule="auto"/>
              <w:ind w:left="1479"/>
              <w:rPr>
                <w:sz w:val="24"/>
                <w:szCs w:val="24"/>
              </w:rPr>
            </w:pPr>
            <w:r>
              <w:rPr>
                <w:b/>
                <w:bCs/>
                <w:spacing w:val="2"/>
                <w:sz w:val="24"/>
                <w:szCs w:val="24"/>
              </w:rPr>
              <w:t>保护区划分半径(m)</w:t>
            </w:r>
          </w:p>
        </w:tc>
        <w:tc>
          <w:tcPr>
            <w:tcW w:w="575" w:type="dxa"/>
            <w:vMerge w:val="restart"/>
            <w:tcBorders>
              <w:bottom w:val="nil"/>
            </w:tcBorders>
            <w:textDirection w:val="tbRlV"/>
            <w:vAlign w:val="top"/>
          </w:tcPr>
          <w:p w14:paraId="1A22D236">
            <w:pPr>
              <w:pStyle w:val="6"/>
              <w:spacing w:before="176" w:line="200" w:lineRule="auto"/>
              <w:ind w:left="289"/>
              <w:rPr>
                <w:sz w:val="24"/>
                <w:szCs w:val="24"/>
              </w:rPr>
            </w:pPr>
            <w:r>
              <w:rPr>
                <w:sz w:val="24"/>
                <w:szCs w:val="24"/>
              </w:rPr>
              <w:t>是</w:t>
            </w:r>
            <w:r>
              <w:rPr>
                <w:spacing w:val="-33"/>
                <w:sz w:val="24"/>
                <w:szCs w:val="24"/>
              </w:rPr>
              <w:t xml:space="preserve"> </w:t>
            </w:r>
            <w:r>
              <w:rPr>
                <w:sz w:val="24"/>
                <w:szCs w:val="24"/>
              </w:rPr>
              <w:t>否</w:t>
            </w:r>
            <w:r>
              <w:rPr>
                <w:spacing w:val="-33"/>
                <w:sz w:val="24"/>
                <w:szCs w:val="24"/>
              </w:rPr>
              <w:t xml:space="preserve"> </w:t>
            </w:r>
            <w:r>
              <w:rPr>
                <w:sz w:val="24"/>
                <w:szCs w:val="24"/>
              </w:rPr>
              <w:t>傍</w:t>
            </w:r>
            <w:r>
              <w:rPr>
                <w:spacing w:val="-32"/>
                <w:sz w:val="24"/>
                <w:szCs w:val="24"/>
              </w:rPr>
              <w:t xml:space="preserve"> </w:t>
            </w:r>
            <w:r>
              <w:rPr>
                <w:sz w:val="24"/>
                <w:szCs w:val="24"/>
              </w:rPr>
              <w:t>河</w:t>
            </w:r>
            <w:r>
              <w:rPr>
                <w:spacing w:val="-32"/>
                <w:sz w:val="24"/>
                <w:szCs w:val="24"/>
              </w:rPr>
              <w:t xml:space="preserve"> </w:t>
            </w:r>
            <w:r>
              <w:rPr>
                <w:sz w:val="24"/>
                <w:szCs w:val="24"/>
              </w:rPr>
              <w:t>取</w:t>
            </w:r>
            <w:r>
              <w:rPr>
                <w:spacing w:val="-32"/>
                <w:sz w:val="24"/>
                <w:szCs w:val="24"/>
              </w:rPr>
              <w:t xml:space="preserve"> </w:t>
            </w:r>
            <w:r>
              <w:rPr>
                <w:sz w:val="24"/>
                <w:szCs w:val="24"/>
              </w:rPr>
              <w:t>水</w:t>
            </w:r>
          </w:p>
        </w:tc>
      </w:tr>
      <w:tr w14:paraId="25E78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55" w:type="dxa"/>
            <w:vMerge w:val="continue"/>
            <w:tcBorders>
              <w:top w:val="nil"/>
            </w:tcBorders>
            <w:textDirection w:val="tbRlV"/>
            <w:vAlign w:val="top"/>
          </w:tcPr>
          <w:p w14:paraId="70FC2D36">
            <w:pPr>
              <w:rPr>
                <w:rFonts w:ascii="Arial"/>
                <w:sz w:val="21"/>
              </w:rPr>
            </w:pPr>
          </w:p>
        </w:tc>
        <w:tc>
          <w:tcPr>
            <w:tcW w:w="710" w:type="dxa"/>
            <w:vMerge w:val="continue"/>
            <w:tcBorders>
              <w:top w:val="nil"/>
            </w:tcBorders>
            <w:vAlign w:val="top"/>
          </w:tcPr>
          <w:p w14:paraId="21637037">
            <w:pPr>
              <w:rPr>
                <w:rFonts w:ascii="Arial"/>
                <w:sz w:val="21"/>
              </w:rPr>
            </w:pPr>
          </w:p>
        </w:tc>
        <w:tc>
          <w:tcPr>
            <w:tcW w:w="709" w:type="dxa"/>
            <w:vMerge w:val="continue"/>
            <w:tcBorders>
              <w:top w:val="nil"/>
            </w:tcBorders>
            <w:vAlign w:val="top"/>
          </w:tcPr>
          <w:p w14:paraId="57DB91C1">
            <w:pPr>
              <w:rPr>
                <w:rFonts w:ascii="Arial"/>
                <w:sz w:val="21"/>
              </w:rPr>
            </w:pPr>
          </w:p>
        </w:tc>
        <w:tc>
          <w:tcPr>
            <w:tcW w:w="710" w:type="dxa"/>
            <w:vMerge w:val="continue"/>
            <w:tcBorders>
              <w:top w:val="nil"/>
            </w:tcBorders>
            <w:vAlign w:val="top"/>
          </w:tcPr>
          <w:p w14:paraId="12C2A5BA">
            <w:pPr>
              <w:rPr>
                <w:rFonts w:ascii="Arial"/>
                <w:sz w:val="21"/>
              </w:rPr>
            </w:pPr>
          </w:p>
        </w:tc>
        <w:tc>
          <w:tcPr>
            <w:tcW w:w="570" w:type="dxa"/>
            <w:vMerge w:val="continue"/>
            <w:tcBorders>
              <w:top w:val="nil"/>
            </w:tcBorders>
            <w:textDirection w:val="tbRlV"/>
            <w:vAlign w:val="top"/>
          </w:tcPr>
          <w:p w14:paraId="65FF71F5">
            <w:pPr>
              <w:rPr>
                <w:rFonts w:ascii="Arial"/>
                <w:sz w:val="21"/>
              </w:rPr>
            </w:pPr>
          </w:p>
        </w:tc>
        <w:tc>
          <w:tcPr>
            <w:tcW w:w="849" w:type="dxa"/>
            <w:vMerge w:val="continue"/>
            <w:tcBorders>
              <w:top w:val="nil"/>
            </w:tcBorders>
            <w:vAlign w:val="top"/>
          </w:tcPr>
          <w:p w14:paraId="0D120A8A">
            <w:pPr>
              <w:rPr>
                <w:rFonts w:ascii="Arial"/>
                <w:sz w:val="21"/>
              </w:rPr>
            </w:pPr>
          </w:p>
        </w:tc>
        <w:tc>
          <w:tcPr>
            <w:tcW w:w="710" w:type="dxa"/>
            <w:vMerge w:val="continue"/>
            <w:tcBorders>
              <w:top w:val="nil"/>
            </w:tcBorders>
            <w:vAlign w:val="top"/>
          </w:tcPr>
          <w:p w14:paraId="016A9448">
            <w:pPr>
              <w:rPr>
                <w:rFonts w:ascii="Arial"/>
                <w:sz w:val="21"/>
              </w:rPr>
            </w:pPr>
          </w:p>
        </w:tc>
        <w:tc>
          <w:tcPr>
            <w:tcW w:w="709" w:type="dxa"/>
            <w:vMerge w:val="continue"/>
            <w:tcBorders>
              <w:top w:val="nil"/>
            </w:tcBorders>
            <w:vAlign w:val="top"/>
          </w:tcPr>
          <w:p w14:paraId="74FFF2FC">
            <w:pPr>
              <w:rPr>
                <w:rFonts w:ascii="Arial"/>
                <w:sz w:val="21"/>
              </w:rPr>
            </w:pPr>
          </w:p>
        </w:tc>
        <w:tc>
          <w:tcPr>
            <w:tcW w:w="849" w:type="dxa"/>
            <w:vMerge w:val="continue"/>
            <w:tcBorders>
              <w:top w:val="nil"/>
            </w:tcBorders>
            <w:vAlign w:val="top"/>
          </w:tcPr>
          <w:p w14:paraId="2AD826D1">
            <w:pPr>
              <w:rPr>
                <w:rFonts w:ascii="Arial"/>
                <w:sz w:val="21"/>
              </w:rPr>
            </w:pPr>
          </w:p>
        </w:tc>
        <w:tc>
          <w:tcPr>
            <w:tcW w:w="710" w:type="dxa"/>
            <w:vMerge w:val="continue"/>
            <w:tcBorders>
              <w:top w:val="nil"/>
            </w:tcBorders>
            <w:vAlign w:val="top"/>
          </w:tcPr>
          <w:p w14:paraId="34E86B66">
            <w:pPr>
              <w:rPr>
                <w:rFonts w:ascii="Arial"/>
                <w:sz w:val="21"/>
              </w:rPr>
            </w:pPr>
          </w:p>
        </w:tc>
        <w:tc>
          <w:tcPr>
            <w:tcW w:w="709" w:type="dxa"/>
            <w:vMerge w:val="continue"/>
            <w:tcBorders>
              <w:top w:val="nil"/>
            </w:tcBorders>
            <w:vAlign w:val="top"/>
          </w:tcPr>
          <w:p w14:paraId="46226966">
            <w:pPr>
              <w:rPr>
                <w:rFonts w:ascii="Arial"/>
                <w:sz w:val="21"/>
              </w:rPr>
            </w:pPr>
          </w:p>
        </w:tc>
        <w:tc>
          <w:tcPr>
            <w:tcW w:w="699" w:type="dxa"/>
            <w:vMerge w:val="continue"/>
            <w:tcBorders>
              <w:top w:val="nil"/>
            </w:tcBorders>
            <w:vAlign w:val="top"/>
          </w:tcPr>
          <w:p w14:paraId="005EEF2F">
            <w:pPr>
              <w:rPr>
                <w:rFonts w:ascii="Arial"/>
                <w:sz w:val="21"/>
              </w:rPr>
            </w:pPr>
          </w:p>
        </w:tc>
        <w:tc>
          <w:tcPr>
            <w:tcW w:w="570" w:type="dxa"/>
            <w:vMerge w:val="continue"/>
            <w:tcBorders>
              <w:top w:val="nil"/>
            </w:tcBorders>
            <w:textDirection w:val="tbRlV"/>
            <w:vAlign w:val="top"/>
          </w:tcPr>
          <w:p w14:paraId="27F8B76C">
            <w:pPr>
              <w:rPr>
                <w:rFonts w:ascii="Arial"/>
                <w:sz w:val="21"/>
              </w:rPr>
            </w:pPr>
          </w:p>
        </w:tc>
        <w:tc>
          <w:tcPr>
            <w:tcW w:w="2408" w:type="dxa"/>
            <w:vAlign w:val="top"/>
          </w:tcPr>
          <w:p w14:paraId="3F37D5CC">
            <w:pPr>
              <w:spacing w:line="432" w:lineRule="auto"/>
              <w:rPr>
                <w:rFonts w:ascii="Arial"/>
                <w:sz w:val="21"/>
              </w:rPr>
            </w:pPr>
          </w:p>
          <w:p w14:paraId="5E88A61F">
            <w:pPr>
              <w:pStyle w:val="6"/>
              <w:spacing w:before="78" w:line="220" w:lineRule="auto"/>
              <w:ind w:left="595"/>
              <w:rPr>
                <w:sz w:val="24"/>
                <w:szCs w:val="24"/>
              </w:rPr>
            </w:pPr>
            <w:r>
              <w:rPr>
                <w:spacing w:val="4"/>
                <w:sz w:val="24"/>
                <w:szCs w:val="24"/>
              </w:rPr>
              <w:t>一级保护区</w:t>
            </w:r>
          </w:p>
        </w:tc>
        <w:tc>
          <w:tcPr>
            <w:tcW w:w="2378" w:type="dxa"/>
            <w:vAlign w:val="top"/>
          </w:tcPr>
          <w:p w14:paraId="43A2F7F0">
            <w:pPr>
              <w:spacing w:line="432" w:lineRule="auto"/>
              <w:rPr>
                <w:rFonts w:ascii="Arial"/>
                <w:sz w:val="21"/>
              </w:rPr>
            </w:pPr>
          </w:p>
          <w:p w14:paraId="60746E30">
            <w:pPr>
              <w:pStyle w:val="6"/>
              <w:spacing w:before="78" w:line="220" w:lineRule="auto"/>
              <w:ind w:left="588"/>
              <w:rPr>
                <w:sz w:val="24"/>
                <w:szCs w:val="24"/>
              </w:rPr>
            </w:pPr>
            <w:r>
              <w:rPr>
                <w:spacing w:val="4"/>
                <w:sz w:val="24"/>
                <w:szCs w:val="24"/>
              </w:rPr>
              <w:t>二级保护区</w:t>
            </w:r>
          </w:p>
        </w:tc>
        <w:tc>
          <w:tcPr>
            <w:tcW w:w="440" w:type="dxa"/>
            <w:textDirection w:val="tbRlV"/>
            <w:vAlign w:val="top"/>
          </w:tcPr>
          <w:p w14:paraId="5CCE738C">
            <w:pPr>
              <w:pStyle w:val="6"/>
              <w:spacing w:before="97" w:line="202" w:lineRule="auto"/>
              <w:jc w:val="right"/>
              <w:rPr>
                <w:sz w:val="24"/>
                <w:szCs w:val="24"/>
              </w:rPr>
            </w:pPr>
            <w:r>
              <w:rPr>
                <w:spacing w:val="-4"/>
                <w:sz w:val="24"/>
                <w:szCs w:val="24"/>
              </w:rPr>
              <w:t>准</w:t>
            </w:r>
            <w:r>
              <w:rPr>
                <w:spacing w:val="-18"/>
                <w:sz w:val="24"/>
                <w:szCs w:val="24"/>
              </w:rPr>
              <w:t xml:space="preserve"> </w:t>
            </w:r>
            <w:r>
              <w:rPr>
                <w:spacing w:val="-4"/>
                <w:sz w:val="24"/>
                <w:szCs w:val="24"/>
              </w:rPr>
              <w:t>保</w:t>
            </w:r>
            <w:r>
              <w:rPr>
                <w:spacing w:val="-20"/>
                <w:sz w:val="24"/>
                <w:szCs w:val="24"/>
              </w:rPr>
              <w:t xml:space="preserve"> </w:t>
            </w:r>
            <w:r>
              <w:rPr>
                <w:spacing w:val="-4"/>
                <w:sz w:val="24"/>
                <w:szCs w:val="24"/>
              </w:rPr>
              <w:t>护</w:t>
            </w:r>
            <w:r>
              <w:rPr>
                <w:spacing w:val="-20"/>
                <w:sz w:val="24"/>
                <w:szCs w:val="24"/>
              </w:rPr>
              <w:t xml:space="preserve"> </w:t>
            </w:r>
            <w:r>
              <w:rPr>
                <w:spacing w:val="-4"/>
                <w:sz w:val="24"/>
                <w:szCs w:val="24"/>
              </w:rPr>
              <w:t>区</w:t>
            </w:r>
          </w:p>
        </w:tc>
        <w:tc>
          <w:tcPr>
            <w:tcW w:w="575" w:type="dxa"/>
            <w:vMerge w:val="continue"/>
            <w:tcBorders>
              <w:top w:val="nil"/>
            </w:tcBorders>
            <w:textDirection w:val="tbRlV"/>
            <w:vAlign w:val="top"/>
          </w:tcPr>
          <w:p w14:paraId="0A53AD8F">
            <w:pPr>
              <w:rPr>
                <w:rFonts w:ascii="Arial"/>
                <w:sz w:val="21"/>
              </w:rPr>
            </w:pPr>
          </w:p>
        </w:tc>
      </w:tr>
      <w:tr w14:paraId="3744F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8" w:hRule="atLeast"/>
        </w:trPr>
        <w:tc>
          <w:tcPr>
            <w:tcW w:w="555" w:type="dxa"/>
            <w:textDirection w:val="tbRlV"/>
            <w:vAlign w:val="top"/>
          </w:tcPr>
          <w:p w14:paraId="1C433D7E">
            <w:pPr>
              <w:pStyle w:val="6"/>
              <w:spacing w:before="171" w:line="199" w:lineRule="auto"/>
              <w:ind w:left="2040"/>
              <w:rPr>
                <w:sz w:val="24"/>
                <w:szCs w:val="24"/>
              </w:rPr>
            </w:pPr>
            <w:r>
              <w:rPr>
                <w:sz w:val="24"/>
                <w:szCs w:val="24"/>
              </w:rPr>
              <w:t>石</w:t>
            </w:r>
            <w:r>
              <w:rPr>
                <w:spacing w:val="-23"/>
                <w:sz w:val="24"/>
                <w:szCs w:val="24"/>
              </w:rPr>
              <w:t xml:space="preserve"> </w:t>
            </w:r>
            <w:r>
              <w:rPr>
                <w:sz w:val="24"/>
                <w:szCs w:val="24"/>
              </w:rPr>
              <w:t>拐</w:t>
            </w:r>
            <w:r>
              <w:rPr>
                <w:spacing w:val="-23"/>
                <w:sz w:val="24"/>
                <w:szCs w:val="24"/>
              </w:rPr>
              <w:t xml:space="preserve"> </w:t>
            </w:r>
            <w:r>
              <w:rPr>
                <w:sz w:val="24"/>
                <w:szCs w:val="24"/>
              </w:rPr>
              <w:t>区</w:t>
            </w:r>
          </w:p>
        </w:tc>
        <w:tc>
          <w:tcPr>
            <w:tcW w:w="710" w:type="dxa"/>
            <w:vAlign w:val="top"/>
          </w:tcPr>
          <w:p w14:paraId="28D3C0C0">
            <w:pPr>
              <w:spacing w:line="250" w:lineRule="auto"/>
              <w:rPr>
                <w:rFonts w:ascii="Arial"/>
                <w:sz w:val="21"/>
              </w:rPr>
            </w:pPr>
          </w:p>
          <w:p w14:paraId="3B51E566">
            <w:pPr>
              <w:spacing w:line="250" w:lineRule="auto"/>
              <w:rPr>
                <w:rFonts w:ascii="Arial"/>
                <w:sz w:val="21"/>
              </w:rPr>
            </w:pPr>
          </w:p>
          <w:p w14:paraId="37735583">
            <w:pPr>
              <w:spacing w:line="250" w:lineRule="auto"/>
              <w:rPr>
                <w:rFonts w:ascii="Arial"/>
                <w:sz w:val="21"/>
              </w:rPr>
            </w:pPr>
          </w:p>
          <w:p w14:paraId="575FE3BC">
            <w:pPr>
              <w:spacing w:line="250" w:lineRule="auto"/>
              <w:rPr>
                <w:rFonts w:ascii="Arial"/>
                <w:sz w:val="21"/>
              </w:rPr>
            </w:pPr>
          </w:p>
          <w:p w14:paraId="42AF3574">
            <w:pPr>
              <w:spacing w:line="251" w:lineRule="auto"/>
              <w:rPr>
                <w:rFonts w:ascii="Arial"/>
                <w:sz w:val="21"/>
              </w:rPr>
            </w:pPr>
          </w:p>
          <w:p w14:paraId="68EF1E1E">
            <w:pPr>
              <w:spacing w:line="251" w:lineRule="auto"/>
              <w:rPr>
                <w:rFonts w:ascii="Arial"/>
                <w:sz w:val="21"/>
              </w:rPr>
            </w:pPr>
          </w:p>
          <w:p w14:paraId="6DE65F45">
            <w:pPr>
              <w:spacing w:line="251" w:lineRule="auto"/>
              <w:rPr>
                <w:rFonts w:ascii="Arial"/>
                <w:sz w:val="21"/>
              </w:rPr>
            </w:pPr>
          </w:p>
          <w:p w14:paraId="18D16F2D">
            <w:pPr>
              <w:spacing w:line="251" w:lineRule="auto"/>
              <w:rPr>
                <w:rFonts w:ascii="Arial"/>
                <w:sz w:val="21"/>
              </w:rPr>
            </w:pPr>
          </w:p>
          <w:p w14:paraId="0E927F53">
            <w:pPr>
              <w:pStyle w:val="6"/>
              <w:spacing w:before="78" w:line="220" w:lineRule="auto"/>
              <w:ind w:left="100"/>
              <w:rPr>
                <w:sz w:val="24"/>
                <w:szCs w:val="24"/>
              </w:rPr>
            </w:pPr>
            <w:r>
              <w:rPr>
                <w:color w:val="304040"/>
                <w:spacing w:val="8"/>
                <w:sz w:val="24"/>
                <w:szCs w:val="24"/>
              </w:rPr>
              <w:t>石拐</w:t>
            </w:r>
          </w:p>
          <w:p w14:paraId="493BB4F3">
            <w:pPr>
              <w:pStyle w:val="6"/>
              <w:spacing w:before="22" w:line="245" w:lineRule="auto"/>
              <w:ind w:left="100" w:right="108"/>
              <w:rPr>
                <w:sz w:val="24"/>
                <w:szCs w:val="24"/>
              </w:rPr>
            </w:pPr>
            <w:r>
              <w:rPr>
                <w:spacing w:val="5"/>
                <w:sz w:val="24"/>
                <w:szCs w:val="24"/>
              </w:rPr>
              <w:t>区水</w:t>
            </w:r>
            <w:r>
              <w:rPr>
                <w:sz w:val="24"/>
                <w:szCs w:val="24"/>
              </w:rPr>
              <w:t xml:space="preserve"> </w:t>
            </w:r>
            <w:r>
              <w:rPr>
                <w:spacing w:val="-3"/>
                <w:sz w:val="24"/>
                <w:szCs w:val="24"/>
              </w:rPr>
              <w:t>源地</w:t>
            </w:r>
          </w:p>
        </w:tc>
        <w:tc>
          <w:tcPr>
            <w:tcW w:w="709" w:type="dxa"/>
            <w:vAlign w:val="top"/>
          </w:tcPr>
          <w:p w14:paraId="33E9BE7A">
            <w:pPr>
              <w:spacing w:line="265" w:lineRule="auto"/>
              <w:rPr>
                <w:rFonts w:ascii="Arial"/>
                <w:sz w:val="21"/>
              </w:rPr>
            </w:pPr>
          </w:p>
          <w:p w14:paraId="070E6A17">
            <w:pPr>
              <w:spacing w:line="265" w:lineRule="auto"/>
              <w:rPr>
                <w:rFonts w:ascii="Arial"/>
                <w:sz w:val="21"/>
              </w:rPr>
            </w:pPr>
          </w:p>
          <w:p w14:paraId="08C5B2D1">
            <w:pPr>
              <w:spacing w:line="265" w:lineRule="auto"/>
              <w:rPr>
                <w:rFonts w:ascii="Arial"/>
                <w:sz w:val="21"/>
              </w:rPr>
            </w:pPr>
          </w:p>
          <w:p w14:paraId="311D2ECD">
            <w:pPr>
              <w:spacing w:line="265" w:lineRule="auto"/>
              <w:rPr>
                <w:rFonts w:ascii="Arial"/>
                <w:sz w:val="21"/>
              </w:rPr>
            </w:pPr>
          </w:p>
          <w:p w14:paraId="2BE9A378">
            <w:pPr>
              <w:spacing w:line="265" w:lineRule="auto"/>
              <w:rPr>
                <w:rFonts w:ascii="Arial"/>
                <w:sz w:val="21"/>
              </w:rPr>
            </w:pPr>
          </w:p>
          <w:p w14:paraId="7A288C73">
            <w:pPr>
              <w:spacing w:line="265" w:lineRule="auto"/>
              <w:rPr>
                <w:rFonts w:ascii="Arial"/>
                <w:sz w:val="21"/>
              </w:rPr>
            </w:pPr>
          </w:p>
          <w:p w14:paraId="246614E2">
            <w:pPr>
              <w:spacing w:line="265" w:lineRule="auto"/>
              <w:rPr>
                <w:rFonts w:ascii="Arial"/>
                <w:sz w:val="21"/>
              </w:rPr>
            </w:pPr>
          </w:p>
          <w:p w14:paraId="13D41D4E">
            <w:pPr>
              <w:pStyle w:val="6"/>
              <w:spacing w:before="78" w:line="220" w:lineRule="auto"/>
              <w:ind w:left="100"/>
              <w:rPr>
                <w:sz w:val="24"/>
                <w:szCs w:val="24"/>
              </w:rPr>
            </w:pPr>
            <w:r>
              <w:rPr>
                <w:color w:val="607070"/>
                <w:spacing w:val="8"/>
                <w:sz w:val="24"/>
                <w:szCs w:val="24"/>
              </w:rPr>
              <w:t>石拐</w:t>
            </w:r>
          </w:p>
          <w:p w14:paraId="626DF121">
            <w:pPr>
              <w:pStyle w:val="6"/>
              <w:spacing w:before="30" w:line="224" w:lineRule="auto"/>
              <w:ind w:left="100"/>
              <w:rPr>
                <w:sz w:val="24"/>
                <w:szCs w:val="24"/>
              </w:rPr>
            </w:pPr>
            <w:r>
              <w:rPr>
                <w:spacing w:val="5"/>
                <w:sz w:val="24"/>
                <w:szCs w:val="24"/>
              </w:rPr>
              <w:t>区五</w:t>
            </w:r>
          </w:p>
          <w:p w14:paraId="5F7D2B68">
            <w:pPr>
              <w:pStyle w:val="6"/>
              <w:spacing w:before="15" w:line="221" w:lineRule="auto"/>
              <w:ind w:left="100"/>
              <w:rPr>
                <w:sz w:val="24"/>
                <w:szCs w:val="24"/>
              </w:rPr>
            </w:pPr>
            <w:r>
              <w:rPr>
                <w:spacing w:val="24"/>
                <w:sz w:val="24"/>
                <w:szCs w:val="24"/>
              </w:rPr>
              <w:t>当召</w:t>
            </w:r>
          </w:p>
          <w:p w14:paraId="44A600EA">
            <w:pPr>
              <w:pStyle w:val="6"/>
              <w:spacing w:before="19" w:line="219" w:lineRule="auto"/>
              <w:ind w:left="220"/>
              <w:rPr>
                <w:sz w:val="24"/>
                <w:szCs w:val="24"/>
              </w:rPr>
            </w:pPr>
            <w:r>
              <w:rPr>
                <w:sz w:val="24"/>
                <w:szCs w:val="24"/>
              </w:rPr>
              <w:t>镇</w:t>
            </w:r>
          </w:p>
        </w:tc>
        <w:tc>
          <w:tcPr>
            <w:tcW w:w="710" w:type="dxa"/>
            <w:vAlign w:val="top"/>
          </w:tcPr>
          <w:p w14:paraId="1DC362A4">
            <w:pPr>
              <w:rPr>
                <w:rFonts w:ascii="Arial"/>
                <w:sz w:val="21"/>
              </w:rPr>
            </w:pPr>
          </w:p>
          <w:p w14:paraId="7DB92A7F">
            <w:pPr>
              <w:rPr>
                <w:rFonts w:ascii="Arial"/>
                <w:sz w:val="21"/>
              </w:rPr>
            </w:pPr>
          </w:p>
          <w:p w14:paraId="6E7BC750">
            <w:pPr>
              <w:rPr>
                <w:rFonts w:ascii="Arial"/>
                <w:sz w:val="21"/>
              </w:rPr>
            </w:pPr>
          </w:p>
          <w:p w14:paraId="17449EC0">
            <w:pPr>
              <w:rPr>
                <w:rFonts w:ascii="Arial"/>
                <w:sz w:val="21"/>
              </w:rPr>
            </w:pPr>
          </w:p>
          <w:p w14:paraId="1127A8FC">
            <w:pPr>
              <w:rPr>
                <w:rFonts w:ascii="Arial"/>
                <w:sz w:val="21"/>
              </w:rPr>
            </w:pPr>
          </w:p>
          <w:p w14:paraId="3FF72405">
            <w:pPr>
              <w:rPr>
                <w:rFonts w:ascii="Arial"/>
                <w:sz w:val="21"/>
              </w:rPr>
            </w:pPr>
          </w:p>
          <w:p w14:paraId="5FE0D4C9">
            <w:pPr>
              <w:spacing w:line="241" w:lineRule="auto"/>
              <w:rPr>
                <w:rFonts w:ascii="Arial"/>
                <w:sz w:val="21"/>
              </w:rPr>
            </w:pPr>
          </w:p>
          <w:p w14:paraId="363E553F">
            <w:pPr>
              <w:spacing w:line="241" w:lineRule="auto"/>
              <w:rPr>
                <w:rFonts w:ascii="Arial"/>
                <w:sz w:val="21"/>
              </w:rPr>
            </w:pPr>
          </w:p>
          <w:p w14:paraId="384324D1">
            <w:pPr>
              <w:spacing w:line="241" w:lineRule="auto"/>
              <w:rPr>
                <w:rFonts w:ascii="Arial"/>
                <w:sz w:val="21"/>
              </w:rPr>
            </w:pPr>
          </w:p>
          <w:p w14:paraId="6398CAF5">
            <w:pPr>
              <w:pStyle w:val="6"/>
              <w:spacing w:before="78" w:line="220" w:lineRule="auto"/>
              <w:ind w:left="100"/>
              <w:rPr>
                <w:sz w:val="24"/>
                <w:szCs w:val="24"/>
              </w:rPr>
            </w:pPr>
            <w:r>
              <w:rPr>
                <w:spacing w:val="8"/>
                <w:sz w:val="24"/>
                <w:szCs w:val="24"/>
              </w:rPr>
              <w:t>石拐</w:t>
            </w:r>
          </w:p>
          <w:p w14:paraId="7F524DE0">
            <w:pPr>
              <w:pStyle w:val="6"/>
              <w:spacing w:before="27" w:line="223" w:lineRule="auto"/>
              <w:ind w:left="100"/>
              <w:rPr>
                <w:sz w:val="24"/>
                <w:szCs w:val="24"/>
              </w:rPr>
            </w:pPr>
            <w:r>
              <w:rPr>
                <w:spacing w:val="10"/>
                <w:sz w:val="24"/>
                <w:szCs w:val="24"/>
              </w:rPr>
              <w:t>老区</w:t>
            </w:r>
          </w:p>
        </w:tc>
        <w:tc>
          <w:tcPr>
            <w:tcW w:w="570" w:type="dxa"/>
            <w:vAlign w:val="top"/>
          </w:tcPr>
          <w:p w14:paraId="758A7B79">
            <w:pPr>
              <w:spacing w:line="258" w:lineRule="auto"/>
              <w:rPr>
                <w:rFonts w:ascii="Arial"/>
                <w:sz w:val="21"/>
              </w:rPr>
            </w:pPr>
          </w:p>
          <w:p w14:paraId="3FB37D16">
            <w:pPr>
              <w:spacing w:line="258" w:lineRule="auto"/>
              <w:rPr>
                <w:rFonts w:ascii="Arial"/>
                <w:sz w:val="21"/>
              </w:rPr>
            </w:pPr>
          </w:p>
          <w:p w14:paraId="3BBF4C00">
            <w:pPr>
              <w:spacing w:line="258" w:lineRule="auto"/>
              <w:rPr>
                <w:rFonts w:ascii="Arial"/>
                <w:sz w:val="21"/>
              </w:rPr>
            </w:pPr>
          </w:p>
          <w:p w14:paraId="60FB8C34">
            <w:pPr>
              <w:spacing w:line="258" w:lineRule="auto"/>
              <w:rPr>
                <w:rFonts w:ascii="Arial"/>
                <w:sz w:val="21"/>
              </w:rPr>
            </w:pPr>
          </w:p>
          <w:p w14:paraId="1B67DF33">
            <w:pPr>
              <w:spacing w:line="258" w:lineRule="auto"/>
              <w:rPr>
                <w:rFonts w:ascii="Arial"/>
                <w:sz w:val="21"/>
              </w:rPr>
            </w:pPr>
          </w:p>
          <w:p w14:paraId="35429BAE">
            <w:pPr>
              <w:spacing w:line="258" w:lineRule="auto"/>
              <w:rPr>
                <w:rFonts w:ascii="Arial"/>
                <w:sz w:val="21"/>
              </w:rPr>
            </w:pPr>
          </w:p>
          <w:p w14:paraId="06D5CF4B">
            <w:pPr>
              <w:spacing w:line="259" w:lineRule="auto"/>
              <w:rPr>
                <w:rFonts w:ascii="Arial"/>
                <w:sz w:val="21"/>
              </w:rPr>
            </w:pPr>
          </w:p>
          <w:p w14:paraId="38697B12">
            <w:pPr>
              <w:spacing w:line="259" w:lineRule="auto"/>
              <w:rPr>
                <w:rFonts w:ascii="Arial"/>
                <w:sz w:val="21"/>
              </w:rPr>
            </w:pPr>
          </w:p>
          <w:p w14:paraId="58E5CC2A">
            <w:pPr>
              <w:spacing w:line="259" w:lineRule="auto"/>
              <w:rPr>
                <w:rFonts w:ascii="Arial"/>
                <w:sz w:val="21"/>
              </w:rPr>
            </w:pPr>
          </w:p>
          <w:p w14:paraId="7AB59F0F">
            <w:pPr>
              <w:pStyle w:val="6"/>
              <w:spacing w:before="78" w:line="241" w:lineRule="auto"/>
              <w:ind w:left="211"/>
              <w:rPr>
                <w:sz w:val="24"/>
                <w:szCs w:val="24"/>
              </w:rPr>
            </w:pPr>
            <w:r>
              <w:rPr>
                <w:sz w:val="24"/>
                <w:szCs w:val="24"/>
              </w:rPr>
              <w:t>1</w:t>
            </w:r>
          </w:p>
        </w:tc>
        <w:tc>
          <w:tcPr>
            <w:tcW w:w="849" w:type="dxa"/>
            <w:vAlign w:val="top"/>
          </w:tcPr>
          <w:p w14:paraId="580F63B0">
            <w:pPr>
              <w:spacing w:line="258" w:lineRule="auto"/>
              <w:rPr>
                <w:rFonts w:ascii="Arial"/>
                <w:sz w:val="21"/>
              </w:rPr>
            </w:pPr>
          </w:p>
          <w:p w14:paraId="1C9496C8">
            <w:pPr>
              <w:spacing w:line="258" w:lineRule="auto"/>
              <w:rPr>
                <w:rFonts w:ascii="Arial"/>
                <w:sz w:val="21"/>
              </w:rPr>
            </w:pPr>
          </w:p>
          <w:p w14:paraId="2A18E317">
            <w:pPr>
              <w:spacing w:line="258" w:lineRule="auto"/>
              <w:rPr>
                <w:rFonts w:ascii="Arial"/>
                <w:sz w:val="21"/>
              </w:rPr>
            </w:pPr>
          </w:p>
          <w:p w14:paraId="2FF8A70C">
            <w:pPr>
              <w:spacing w:line="258" w:lineRule="auto"/>
              <w:rPr>
                <w:rFonts w:ascii="Arial"/>
                <w:sz w:val="21"/>
              </w:rPr>
            </w:pPr>
          </w:p>
          <w:p w14:paraId="3F6D550D">
            <w:pPr>
              <w:spacing w:line="258" w:lineRule="auto"/>
              <w:rPr>
                <w:rFonts w:ascii="Arial"/>
                <w:sz w:val="21"/>
              </w:rPr>
            </w:pPr>
          </w:p>
          <w:p w14:paraId="7571B4FB">
            <w:pPr>
              <w:spacing w:line="258" w:lineRule="auto"/>
              <w:rPr>
                <w:rFonts w:ascii="Arial"/>
                <w:sz w:val="21"/>
              </w:rPr>
            </w:pPr>
          </w:p>
          <w:p w14:paraId="29C3AA67">
            <w:pPr>
              <w:spacing w:line="258" w:lineRule="auto"/>
              <w:rPr>
                <w:rFonts w:ascii="Arial"/>
                <w:sz w:val="21"/>
              </w:rPr>
            </w:pPr>
          </w:p>
          <w:p w14:paraId="536D4B72">
            <w:pPr>
              <w:spacing w:line="259" w:lineRule="auto"/>
              <w:rPr>
                <w:rFonts w:ascii="Arial"/>
                <w:sz w:val="21"/>
              </w:rPr>
            </w:pPr>
          </w:p>
          <w:p w14:paraId="009AD378">
            <w:pPr>
              <w:spacing w:line="259" w:lineRule="auto"/>
              <w:rPr>
                <w:rFonts w:ascii="Arial"/>
                <w:sz w:val="21"/>
              </w:rPr>
            </w:pPr>
          </w:p>
          <w:p w14:paraId="70B719F5">
            <w:pPr>
              <w:pStyle w:val="6"/>
              <w:spacing w:before="78"/>
              <w:ind w:left="290"/>
              <w:rPr>
                <w:sz w:val="24"/>
                <w:szCs w:val="24"/>
              </w:rPr>
            </w:pPr>
            <w:r>
              <w:rPr>
                <w:spacing w:val="-7"/>
                <w:sz w:val="24"/>
                <w:szCs w:val="24"/>
              </w:rPr>
              <w:t>10</w:t>
            </w:r>
          </w:p>
        </w:tc>
        <w:tc>
          <w:tcPr>
            <w:tcW w:w="710" w:type="dxa"/>
            <w:vAlign w:val="top"/>
          </w:tcPr>
          <w:p w14:paraId="3CAD918A">
            <w:pPr>
              <w:spacing w:line="258" w:lineRule="auto"/>
              <w:rPr>
                <w:rFonts w:ascii="Arial"/>
                <w:sz w:val="21"/>
              </w:rPr>
            </w:pPr>
          </w:p>
          <w:p w14:paraId="5BE3E250">
            <w:pPr>
              <w:spacing w:line="258" w:lineRule="auto"/>
              <w:rPr>
                <w:rFonts w:ascii="Arial"/>
                <w:sz w:val="21"/>
              </w:rPr>
            </w:pPr>
          </w:p>
          <w:p w14:paraId="6105996F">
            <w:pPr>
              <w:spacing w:line="258" w:lineRule="auto"/>
              <w:rPr>
                <w:rFonts w:ascii="Arial"/>
                <w:sz w:val="21"/>
              </w:rPr>
            </w:pPr>
          </w:p>
          <w:p w14:paraId="387D38E0">
            <w:pPr>
              <w:spacing w:line="258" w:lineRule="auto"/>
              <w:rPr>
                <w:rFonts w:ascii="Arial"/>
                <w:sz w:val="21"/>
              </w:rPr>
            </w:pPr>
          </w:p>
          <w:p w14:paraId="774C1068">
            <w:pPr>
              <w:spacing w:line="258" w:lineRule="auto"/>
              <w:rPr>
                <w:rFonts w:ascii="Arial"/>
                <w:sz w:val="21"/>
              </w:rPr>
            </w:pPr>
          </w:p>
          <w:p w14:paraId="1D28AA5C">
            <w:pPr>
              <w:spacing w:line="258" w:lineRule="auto"/>
              <w:rPr>
                <w:rFonts w:ascii="Arial"/>
                <w:sz w:val="21"/>
              </w:rPr>
            </w:pPr>
          </w:p>
          <w:p w14:paraId="06218DE4">
            <w:pPr>
              <w:spacing w:line="258" w:lineRule="auto"/>
              <w:rPr>
                <w:rFonts w:ascii="Arial"/>
                <w:sz w:val="21"/>
              </w:rPr>
            </w:pPr>
          </w:p>
          <w:p w14:paraId="41D2D609">
            <w:pPr>
              <w:spacing w:line="259" w:lineRule="auto"/>
              <w:rPr>
                <w:rFonts w:ascii="Arial"/>
                <w:sz w:val="21"/>
              </w:rPr>
            </w:pPr>
          </w:p>
          <w:p w14:paraId="6A0D78F3">
            <w:pPr>
              <w:spacing w:line="259" w:lineRule="auto"/>
              <w:rPr>
                <w:rFonts w:ascii="Arial"/>
                <w:sz w:val="21"/>
              </w:rPr>
            </w:pPr>
          </w:p>
          <w:p w14:paraId="497FA839">
            <w:pPr>
              <w:pStyle w:val="6"/>
              <w:spacing w:before="78"/>
              <w:ind w:left="101"/>
              <w:rPr>
                <w:sz w:val="24"/>
                <w:szCs w:val="24"/>
              </w:rPr>
            </w:pPr>
            <w:r>
              <w:rPr>
                <w:spacing w:val="-3"/>
                <w:sz w:val="24"/>
                <w:szCs w:val="24"/>
              </w:rPr>
              <w:t>2006</w:t>
            </w:r>
          </w:p>
        </w:tc>
        <w:tc>
          <w:tcPr>
            <w:tcW w:w="709" w:type="dxa"/>
            <w:vAlign w:val="top"/>
          </w:tcPr>
          <w:p w14:paraId="0353522D">
            <w:pPr>
              <w:spacing w:line="255" w:lineRule="auto"/>
              <w:rPr>
                <w:rFonts w:ascii="Arial"/>
                <w:sz w:val="21"/>
              </w:rPr>
            </w:pPr>
          </w:p>
          <w:p w14:paraId="302CE4A9">
            <w:pPr>
              <w:spacing w:line="255" w:lineRule="auto"/>
              <w:rPr>
                <w:rFonts w:ascii="Arial"/>
                <w:sz w:val="21"/>
              </w:rPr>
            </w:pPr>
          </w:p>
          <w:p w14:paraId="1EB58D78">
            <w:pPr>
              <w:spacing w:line="255" w:lineRule="auto"/>
              <w:rPr>
                <w:rFonts w:ascii="Arial"/>
                <w:sz w:val="21"/>
              </w:rPr>
            </w:pPr>
          </w:p>
          <w:p w14:paraId="06BB736A">
            <w:pPr>
              <w:spacing w:line="256" w:lineRule="auto"/>
              <w:rPr>
                <w:rFonts w:ascii="Arial"/>
                <w:sz w:val="21"/>
              </w:rPr>
            </w:pPr>
          </w:p>
          <w:p w14:paraId="3DE48229">
            <w:pPr>
              <w:spacing w:line="256" w:lineRule="auto"/>
              <w:rPr>
                <w:rFonts w:ascii="Arial"/>
                <w:sz w:val="21"/>
              </w:rPr>
            </w:pPr>
          </w:p>
          <w:p w14:paraId="14292335">
            <w:pPr>
              <w:spacing w:line="256" w:lineRule="auto"/>
              <w:rPr>
                <w:rFonts w:ascii="Arial"/>
                <w:sz w:val="21"/>
              </w:rPr>
            </w:pPr>
          </w:p>
          <w:p w14:paraId="58FC9F35">
            <w:pPr>
              <w:spacing w:line="256" w:lineRule="auto"/>
              <w:rPr>
                <w:rFonts w:ascii="Arial"/>
                <w:sz w:val="21"/>
              </w:rPr>
            </w:pPr>
          </w:p>
          <w:p w14:paraId="79A5DE70">
            <w:pPr>
              <w:spacing w:line="256" w:lineRule="auto"/>
              <w:rPr>
                <w:rFonts w:ascii="Arial"/>
                <w:sz w:val="21"/>
              </w:rPr>
            </w:pPr>
          </w:p>
          <w:p w14:paraId="36A32607">
            <w:pPr>
              <w:spacing w:line="256" w:lineRule="auto"/>
              <w:rPr>
                <w:rFonts w:ascii="Arial"/>
                <w:sz w:val="21"/>
              </w:rPr>
            </w:pPr>
          </w:p>
          <w:p w14:paraId="36DE6EFF">
            <w:pPr>
              <w:pStyle w:val="6"/>
              <w:spacing w:before="78" w:line="219" w:lineRule="auto"/>
              <w:ind w:left="102"/>
              <w:rPr>
                <w:sz w:val="24"/>
                <w:szCs w:val="24"/>
              </w:rPr>
            </w:pPr>
            <w:r>
              <w:rPr>
                <w:spacing w:val="-3"/>
                <w:sz w:val="24"/>
                <w:szCs w:val="24"/>
              </w:rPr>
              <w:t>潜水</w:t>
            </w:r>
          </w:p>
        </w:tc>
        <w:tc>
          <w:tcPr>
            <w:tcW w:w="849" w:type="dxa"/>
            <w:vAlign w:val="top"/>
          </w:tcPr>
          <w:p w14:paraId="42F963D9">
            <w:pPr>
              <w:spacing w:line="269" w:lineRule="auto"/>
              <w:rPr>
                <w:rFonts w:ascii="Arial"/>
                <w:sz w:val="21"/>
              </w:rPr>
            </w:pPr>
          </w:p>
          <w:p w14:paraId="78C73096">
            <w:pPr>
              <w:spacing w:line="269" w:lineRule="auto"/>
              <w:rPr>
                <w:rFonts w:ascii="Arial"/>
                <w:sz w:val="21"/>
              </w:rPr>
            </w:pPr>
          </w:p>
          <w:p w14:paraId="084C6D99">
            <w:pPr>
              <w:spacing w:line="269" w:lineRule="auto"/>
              <w:rPr>
                <w:rFonts w:ascii="Arial"/>
                <w:sz w:val="21"/>
              </w:rPr>
            </w:pPr>
          </w:p>
          <w:p w14:paraId="543E1C3F">
            <w:pPr>
              <w:spacing w:line="269" w:lineRule="auto"/>
              <w:rPr>
                <w:rFonts w:ascii="Arial"/>
                <w:sz w:val="21"/>
              </w:rPr>
            </w:pPr>
          </w:p>
          <w:p w14:paraId="51F8A56D">
            <w:pPr>
              <w:spacing w:line="269" w:lineRule="auto"/>
              <w:rPr>
                <w:rFonts w:ascii="Arial"/>
                <w:sz w:val="21"/>
              </w:rPr>
            </w:pPr>
          </w:p>
          <w:p w14:paraId="763B8C60">
            <w:pPr>
              <w:spacing w:line="269" w:lineRule="auto"/>
              <w:rPr>
                <w:rFonts w:ascii="Arial"/>
                <w:sz w:val="21"/>
              </w:rPr>
            </w:pPr>
          </w:p>
          <w:p w14:paraId="196E1667">
            <w:pPr>
              <w:spacing w:line="269" w:lineRule="auto"/>
              <w:rPr>
                <w:rFonts w:ascii="Arial"/>
                <w:sz w:val="21"/>
              </w:rPr>
            </w:pPr>
          </w:p>
          <w:p w14:paraId="3A315FF6">
            <w:pPr>
              <w:spacing w:line="270" w:lineRule="auto"/>
              <w:rPr>
                <w:rFonts w:ascii="Arial"/>
                <w:sz w:val="21"/>
              </w:rPr>
            </w:pPr>
          </w:p>
          <w:p w14:paraId="7D154A51">
            <w:pPr>
              <w:pStyle w:val="6"/>
              <w:spacing w:before="78" w:line="232" w:lineRule="auto"/>
              <w:ind w:left="292" w:right="169" w:hanging="119"/>
              <w:rPr>
                <w:sz w:val="24"/>
                <w:szCs w:val="24"/>
              </w:rPr>
            </w:pPr>
            <w:r>
              <w:rPr>
                <w:spacing w:val="8"/>
                <w:sz w:val="24"/>
                <w:szCs w:val="24"/>
              </w:rPr>
              <w:t>孔隙</w:t>
            </w:r>
            <w:r>
              <w:rPr>
                <w:sz w:val="24"/>
                <w:szCs w:val="24"/>
              </w:rPr>
              <w:t xml:space="preserve"> 水</w:t>
            </w:r>
          </w:p>
        </w:tc>
        <w:tc>
          <w:tcPr>
            <w:tcW w:w="710" w:type="dxa"/>
            <w:vAlign w:val="top"/>
          </w:tcPr>
          <w:p w14:paraId="4328A390">
            <w:pPr>
              <w:rPr>
                <w:rFonts w:ascii="Arial"/>
                <w:sz w:val="21"/>
              </w:rPr>
            </w:pPr>
          </w:p>
          <w:p w14:paraId="19F2CE83">
            <w:pPr>
              <w:rPr>
                <w:rFonts w:ascii="Arial"/>
                <w:sz w:val="21"/>
              </w:rPr>
            </w:pPr>
          </w:p>
          <w:p w14:paraId="70AB8019">
            <w:pPr>
              <w:rPr>
                <w:rFonts w:ascii="Arial"/>
                <w:sz w:val="21"/>
              </w:rPr>
            </w:pPr>
          </w:p>
          <w:p w14:paraId="38564715">
            <w:pPr>
              <w:rPr>
                <w:rFonts w:ascii="Arial"/>
                <w:sz w:val="21"/>
              </w:rPr>
            </w:pPr>
          </w:p>
          <w:p w14:paraId="53D3964D">
            <w:pPr>
              <w:rPr>
                <w:rFonts w:ascii="Arial"/>
                <w:sz w:val="21"/>
              </w:rPr>
            </w:pPr>
          </w:p>
          <w:p w14:paraId="78D39409">
            <w:pPr>
              <w:rPr>
                <w:rFonts w:ascii="Arial"/>
                <w:sz w:val="21"/>
              </w:rPr>
            </w:pPr>
          </w:p>
          <w:p w14:paraId="3D1890C0">
            <w:pPr>
              <w:rPr>
                <w:rFonts w:ascii="Arial"/>
                <w:sz w:val="21"/>
              </w:rPr>
            </w:pPr>
          </w:p>
          <w:p w14:paraId="3067D105">
            <w:pPr>
              <w:spacing w:line="241" w:lineRule="auto"/>
              <w:rPr>
                <w:rFonts w:ascii="Arial"/>
                <w:sz w:val="21"/>
              </w:rPr>
            </w:pPr>
          </w:p>
          <w:p w14:paraId="4DD1B898">
            <w:pPr>
              <w:spacing w:line="241" w:lineRule="auto"/>
              <w:rPr>
                <w:rFonts w:ascii="Arial"/>
                <w:sz w:val="21"/>
              </w:rPr>
            </w:pPr>
          </w:p>
          <w:p w14:paraId="577EC050">
            <w:pPr>
              <w:pStyle w:val="6"/>
              <w:spacing w:before="78"/>
              <w:ind w:left="163" w:right="101" w:hanging="59"/>
              <w:rPr>
                <w:sz w:val="24"/>
                <w:szCs w:val="24"/>
              </w:rPr>
            </w:pPr>
            <w:r>
              <w:rPr>
                <w:spacing w:val="4"/>
                <w:sz w:val="24"/>
                <w:szCs w:val="24"/>
              </w:rPr>
              <w:t>90万</w:t>
            </w:r>
            <w:r>
              <w:rPr>
                <w:spacing w:val="1"/>
                <w:sz w:val="24"/>
                <w:szCs w:val="24"/>
              </w:rPr>
              <w:t xml:space="preserve"> </w:t>
            </w:r>
            <w:r>
              <w:rPr>
                <w:spacing w:val="-4"/>
                <w:sz w:val="24"/>
                <w:szCs w:val="24"/>
              </w:rPr>
              <w:t>t/a</w:t>
            </w:r>
          </w:p>
        </w:tc>
        <w:tc>
          <w:tcPr>
            <w:tcW w:w="709" w:type="dxa"/>
            <w:vAlign w:val="top"/>
          </w:tcPr>
          <w:p w14:paraId="4113D75A">
            <w:pPr>
              <w:spacing w:line="242" w:lineRule="auto"/>
              <w:rPr>
                <w:rFonts w:ascii="Arial"/>
                <w:sz w:val="21"/>
              </w:rPr>
            </w:pPr>
          </w:p>
          <w:p w14:paraId="7F1136C1">
            <w:pPr>
              <w:spacing w:line="243" w:lineRule="auto"/>
              <w:rPr>
                <w:rFonts w:ascii="Arial"/>
                <w:sz w:val="21"/>
              </w:rPr>
            </w:pPr>
          </w:p>
          <w:p w14:paraId="4B59D425">
            <w:pPr>
              <w:spacing w:line="243" w:lineRule="auto"/>
              <w:rPr>
                <w:rFonts w:ascii="Arial"/>
                <w:sz w:val="21"/>
              </w:rPr>
            </w:pPr>
          </w:p>
          <w:p w14:paraId="2504E91A">
            <w:pPr>
              <w:spacing w:line="243" w:lineRule="auto"/>
              <w:rPr>
                <w:rFonts w:ascii="Arial"/>
                <w:sz w:val="21"/>
              </w:rPr>
            </w:pPr>
          </w:p>
          <w:p w14:paraId="119F064A">
            <w:pPr>
              <w:spacing w:line="243" w:lineRule="auto"/>
              <w:rPr>
                <w:rFonts w:ascii="Arial"/>
                <w:sz w:val="21"/>
              </w:rPr>
            </w:pPr>
          </w:p>
          <w:p w14:paraId="083E1B6E">
            <w:pPr>
              <w:spacing w:line="243" w:lineRule="auto"/>
              <w:rPr>
                <w:rFonts w:ascii="Arial"/>
                <w:sz w:val="21"/>
              </w:rPr>
            </w:pPr>
          </w:p>
          <w:p w14:paraId="49A95765">
            <w:pPr>
              <w:spacing w:line="243" w:lineRule="auto"/>
              <w:rPr>
                <w:rFonts w:ascii="Arial"/>
                <w:sz w:val="21"/>
              </w:rPr>
            </w:pPr>
          </w:p>
          <w:p w14:paraId="33E242B5">
            <w:pPr>
              <w:spacing w:line="243" w:lineRule="auto"/>
              <w:rPr>
                <w:rFonts w:ascii="Arial"/>
                <w:sz w:val="21"/>
              </w:rPr>
            </w:pPr>
          </w:p>
          <w:p w14:paraId="595822E5">
            <w:pPr>
              <w:spacing w:line="243" w:lineRule="auto"/>
              <w:rPr>
                <w:rFonts w:ascii="Arial"/>
                <w:sz w:val="21"/>
              </w:rPr>
            </w:pPr>
          </w:p>
          <w:p w14:paraId="5427EC17">
            <w:pPr>
              <w:pStyle w:val="6"/>
              <w:spacing w:before="78" w:line="222" w:lineRule="auto"/>
              <w:ind w:left="163" w:right="142" w:hanging="59"/>
              <w:rPr>
                <w:sz w:val="24"/>
                <w:szCs w:val="24"/>
              </w:rPr>
            </w:pPr>
            <w:r>
              <w:rPr>
                <w:spacing w:val="-7"/>
                <w:sz w:val="24"/>
                <w:szCs w:val="24"/>
              </w:rPr>
              <w:t>1000</w:t>
            </w:r>
            <w:r>
              <w:rPr>
                <w:sz w:val="24"/>
                <w:szCs w:val="24"/>
              </w:rPr>
              <w:t xml:space="preserve"> </w:t>
            </w:r>
            <w:r>
              <w:rPr>
                <w:spacing w:val="-4"/>
                <w:sz w:val="24"/>
                <w:szCs w:val="24"/>
              </w:rPr>
              <w:t>t/a</w:t>
            </w:r>
          </w:p>
        </w:tc>
        <w:tc>
          <w:tcPr>
            <w:tcW w:w="699" w:type="dxa"/>
            <w:vAlign w:val="top"/>
          </w:tcPr>
          <w:p w14:paraId="03F164E3">
            <w:pPr>
              <w:spacing w:line="258" w:lineRule="auto"/>
              <w:rPr>
                <w:rFonts w:ascii="Arial"/>
                <w:sz w:val="21"/>
              </w:rPr>
            </w:pPr>
          </w:p>
          <w:p w14:paraId="3D48EFC6">
            <w:pPr>
              <w:spacing w:line="258" w:lineRule="auto"/>
              <w:rPr>
                <w:rFonts w:ascii="Arial"/>
                <w:sz w:val="21"/>
              </w:rPr>
            </w:pPr>
          </w:p>
          <w:p w14:paraId="4849DAAD">
            <w:pPr>
              <w:spacing w:line="258" w:lineRule="auto"/>
              <w:rPr>
                <w:rFonts w:ascii="Arial"/>
                <w:sz w:val="21"/>
              </w:rPr>
            </w:pPr>
          </w:p>
          <w:p w14:paraId="5BA696DE">
            <w:pPr>
              <w:spacing w:line="258" w:lineRule="auto"/>
              <w:rPr>
                <w:rFonts w:ascii="Arial"/>
                <w:sz w:val="21"/>
              </w:rPr>
            </w:pPr>
          </w:p>
          <w:p w14:paraId="4567F957">
            <w:pPr>
              <w:spacing w:line="258" w:lineRule="auto"/>
              <w:rPr>
                <w:rFonts w:ascii="Arial"/>
                <w:sz w:val="21"/>
              </w:rPr>
            </w:pPr>
          </w:p>
          <w:p w14:paraId="3EFFA03A">
            <w:pPr>
              <w:spacing w:line="258" w:lineRule="auto"/>
              <w:rPr>
                <w:rFonts w:ascii="Arial"/>
                <w:sz w:val="21"/>
              </w:rPr>
            </w:pPr>
          </w:p>
          <w:p w14:paraId="36D6726B">
            <w:pPr>
              <w:spacing w:line="258" w:lineRule="auto"/>
              <w:rPr>
                <w:rFonts w:ascii="Arial"/>
                <w:sz w:val="21"/>
              </w:rPr>
            </w:pPr>
          </w:p>
          <w:p w14:paraId="7656692B">
            <w:pPr>
              <w:spacing w:line="259" w:lineRule="auto"/>
              <w:rPr>
                <w:rFonts w:ascii="Arial"/>
                <w:sz w:val="21"/>
              </w:rPr>
            </w:pPr>
          </w:p>
          <w:p w14:paraId="5A72CD9C">
            <w:pPr>
              <w:spacing w:line="259" w:lineRule="auto"/>
              <w:rPr>
                <w:rFonts w:ascii="Arial"/>
                <w:sz w:val="21"/>
              </w:rPr>
            </w:pPr>
          </w:p>
          <w:p w14:paraId="1B828D53">
            <w:pPr>
              <w:pStyle w:val="6"/>
              <w:spacing w:before="78"/>
              <w:ind w:left="104"/>
              <w:rPr>
                <w:sz w:val="24"/>
                <w:szCs w:val="24"/>
              </w:rPr>
            </w:pPr>
            <w:r>
              <w:rPr>
                <w:spacing w:val="-3"/>
                <w:sz w:val="24"/>
                <w:szCs w:val="24"/>
              </w:rPr>
              <w:t>2400</w:t>
            </w:r>
          </w:p>
        </w:tc>
        <w:tc>
          <w:tcPr>
            <w:tcW w:w="570" w:type="dxa"/>
            <w:textDirection w:val="tbRlV"/>
            <w:vAlign w:val="top"/>
          </w:tcPr>
          <w:p w14:paraId="443D2B0F">
            <w:pPr>
              <w:pStyle w:val="6"/>
              <w:spacing w:before="163" w:line="202" w:lineRule="auto"/>
              <w:ind w:left="2052"/>
              <w:rPr>
                <w:sz w:val="24"/>
                <w:szCs w:val="24"/>
              </w:rPr>
            </w:pPr>
            <w:r>
              <w:rPr>
                <w:color w:val="405050"/>
                <w:sz w:val="24"/>
                <w:szCs w:val="24"/>
              </w:rPr>
              <w:t>中</w:t>
            </w:r>
            <w:r>
              <w:rPr>
                <w:color w:val="405050"/>
                <w:spacing w:val="-31"/>
                <w:sz w:val="24"/>
                <w:szCs w:val="24"/>
              </w:rPr>
              <w:t xml:space="preserve"> </w:t>
            </w:r>
            <w:r>
              <w:rPr>
                <w:color w:val="405050"/>
                <w:sz w:val="24"/>
                <w:szCs w:val="24"/>
              </w:rPr>
              <w:t>粗</w:t>
            </w:r>
            <w:r>
              <w:rPr>
                <w:color w:val="405050"/>
                <w:spacing w:val="-31"/>
                <w:sz w:val="24"/>
                <w:szCs w:val="24"/>
              </w:rPr>
              <w:t xml:space="preserve"> </w:t>
            </w:r>
            <w:r>
              <w:rPr>
                <w:color w:val="405050"/>
                <w:sz w:val="24"/>
                <w:szCs w:val="24"/>
              </w:rPr>
              <w:t>砂</w:t>
            </w:r>
          </w:p>
        </w:tc>
        <w:tc>
          <w:tcPr>
            <w:tcW w:w="2408" w:type="dxa"/>
            <w:vAlign w:val="top"/>
          </w:tcPr>
          <w:p w14:paraId="40EB7D3C">
            <w:pPr>
              <w:spacing w:line="247" w:lineRule="auto"/>
              <w:rPr>
                <w:rFonts w:ascii="Arial"/>
                <w:sz w:val="21"/>
              </w:rPr>
            </w:pPr>
          </w:p>
          <w:p w14:paraId="7723F479">
            <w:pPr>
              <w:spacing w:line="247" w:lineRule="auto"/>
              <w:rPr>
                <w:rFonts w:ascii="Arial"/>
                <w:sz w:val="21"/>
              </w:rPr>
            </w:pPr>
          </w:p>
          <w:p w14:paraId="52A5B4A8">
            <w:pPr>
              <w:spacing w:line="247" w:lineRule="auto"/>
              <w:rPr>
                <w:rFonts w:ascii="Arial"/>
                <w:sz w:val="21"/>
              </w:rPr>
            </w:pPr>
          </w:p>
          <w:p w14:paraId="31C7E55B">
            <w:pPr>
              <w:pStyle w:val="6"/>
              <w:spacing w:before="78" w:line="219" w:lineRule="auto"/>
              <w:ind w:left="105"/>
              <w:rPr>
                <w:sz w:val="24"/>
                <w:szCs w:val="24"/>
              </w:rPr>
            </w:pPr>
            <w:r>
              <w:rPr>
                <w:color w:val="606060"/>
                <w:spacing w:val="1"/>
                <w:sz w:val="24"/>
                <w:szCs w:val="24"/>
              </w:rPr>
              <w:t>长度为取水口上游</w:t>
            </w:r>
          </w:p>
          <w:p w14:paraId="57A4984E">
            <w:pPr>
              <w:pStyle w:val="6"/>
              <w:spacing w:before="31" w:line="216" w:lineRule="auto"/>
              <w:ind w:left="135"/>
              <w:rPr>
                <w:sz w:val="24"/>
                <w:szCs w:val="24"/>
              </w:rPr>
            </w:pPr>
            <w:r>
              <w:rPr>
                <w:spacing w:val="3"/>
                <w:sz w:val="24"/>
                <w:szCs w:val="24"/>
              </w:rPr>
              <w:t>1000m,下游100m;</w:t>
            </w:r>
          </w:p>
          <w:p w14:paraId="1B3A9E34">
            <w:pPr>
              <w:pStyle w:val="6"/>
              <w:spacing w:before="33" w:line="237" w:lineRule="auto"/>
              <w:ind w:left="116" w:right="163" w:firstLine="59"/>
              <w:rPr>
                <w:sz w:val="24"/>
                <w:szCs w:val="24"/>
              </w:rPr>
            </w:pPr>
            <w:r>
              <w:rPr>
                <w:spacing w:val="2"/>
                <w:sz w:val="24"/>
                <w:szCs w:val="24"/>
              </w:rPr>
              <w:t>宽度为沿岸纵深(宽</w:t>
            </w:r>
            <w:r>
              <w:rPr>
                <w:sz w:val="24"/>
                <w:szCs w:val="24"/>
              </w:rPr>
              <w:t xml:space="preserve"> </w:t>
            </w:r>
            <w:r>
              <w:rPr>
                <w:spacing w:val="5"/>
                <w:sz w:val="24"/>
                <w:szCs w:val="24"/>
              </w:rPr>
              <w:t xml:space="preserve">度)至一级保护区水 </w:t>
            </w:r>
            <w:r>
              <w:rPr>
                <w:spacing w:val="2"/>
                <w:sz w:val="24"/>
                <w:szCs w:val="24"/>
              </w:rPr>
              <w:t>域边界外50m,其中</w:t>
            </w:r>
          </w:p>
          <w:p w14:paraId="5797553D">
            <w:pPr>
              <w:pStyle w:val="6"/>
              <w:spacing w:before="33" w:line="236" w:lineRule="auto"/>
              <w:ind w:left="116" w:right="100"/>
              <w:rPr>
                <w:sz w:val="24"/>
                <w:szCs w:val="24"/>
              </w:rPr>
            </w:pPr>
            <w:r>
              <w:rPr>
                <w:spacing w:val="1"/>
                <w:sz w:val="24"/>
                <w:szCs w:val="24"/>
              </w:rPr>
              <w:t>东侧中部以沙明线为</w:t>
            </w:r>
            <w:r>
              <w:rPr>
                <w:spacing w:val="2"/>
                <w:sz w:val="24"/>
                <w:szCs w:val="24"/>
              </w:rPr>
              <w:t xml:space="preserve"> </w:t>
            </w:r>
            <w:r>
              <w:rPr>
                <w:spacing w:val="1"/>
                <w:sz w:val="24"/>
                <w:szCs w:val="24"/>
              </w:rPr>
              <w:t>界；东侧南部以防洪</w:t>
            </w:r>
            <w:r>
              <w:rPr>
                <w:spacing w:val="4"/>
                <w:sz w:val="24"/>
                <w:szCs w:val="24"/>
              </w:rPr>
              <w:t xml:space="preserve"> </w:t>
            </w:r>
            <w:r>
              <w:rPr>
                <w:spacing w:val="2"/>
                <w:sz w:val="24"/>
                <w:szCs w:val="24"/>
              </w:rPr>
              <w:t>民堤为界；西北侧以</w:t>
            </w:r>
          </w:p>
          <w:p w14:paraId="12649663">
            <w:pPr>
              <w:pStyle w:val="6"/>
              <w:spacing w:line="218" w:lineRule="auto"/>
              <w:ind w:left="146"/>
              <w:rPr>
                <w:sz w:val="24"/>
                <w:szCs w:val="24"/>
              </w:rPr>
            </w:pPr>
            <w:r>
              <w:rPr>
                <w:color w:val="304040"/>
                <w:sz w:val="24"/>
                <w:szCs w:val="24"/>
              </w:rPr>
              <w:t>乡村道路为界。</w:t>
            </w:r>
          </w:p>
          <w:p w14:paraId="01C5AF9B">
            <w:pPr>
              <w:pStyle w:val="6"/>
              <w:spacing w:before="37"/>
              <w:ind w:left="95" w:right="350" w:firstLine="20"/>
              <w:rPr>
                <w:sz w:val="24"/>
                <w:szCs w:val="24"/>
              </w:rPr>
            </w:pPr>
            <w:r>
              <w:rPr>
                <w:spacing w:val="1"/>
                <w:sz w:val="24"/>
                <w:szCs w:val="24"/>
              </w:rPr>
              <w:t>面积0.1833平方千</w:t>
            </w:r>
            <w:r>
              <w:rPr>
                <w:sz w:val="24"/>
                <w:szCs w:val="24"/>
              </w:rPr>
              <w:t xml:space="preserve"> 米</w:t>
            </w:r>
          </w:p>
        </w:tc>
        <w:tc>
          <w:tcPr>
            <w:tcW w:w="2378" w:type="dxa"/>
            <w:vAlign w:val="top"/>
          </w:tcPr>
          <w:p w14:paraId="43BDEC73">
            <w:pPr>
              <w:pStyle w:val="6"/>
              <w:spacing w:before="24" w:line="220" w:lineRule="auto"/>
              <w:ind w:left="107"/>
              <w:rPr>
                <w:sz w:val="24"/>
                <w:szCs w:val="24"/>
              </w:rPr>
            </w:pPr>
            <w:r>
              <w:rPr>
                <w:spacing w:val="2"/>
                <w:sz w:val="24"/>
                <w:szCs w:val="24"/>
              </w:rPr>
              <w:t>长度为从级保护区的</w:t>
            </w:r>
          </w:p>
          <w:p w14:paraId="470DBAF6">
            <w:pPr>
              <w:pStyle w:val="6"/>
              <w:spacing w:before="34" w:line="220" w:lineRule="auto"/>
              <w:ind w:left="107"/>
              <w:rPr>
                <w:sz w:val="24"/>
                <w:szCs w:val="24"/>
              </w:rPr>
            </w:pPr>
            <w:r>
              <w:rPr>
                <w:color w:val="505050"/>
                <w:spacing w:val="2"/>
                <w:sz w:val="24"/>
                <w:szCs w:val="24"/>
              </w:rPr>
              <w:t>上游边界向上游延伸</w:t>
            </w:r>
          </w:p>
          <w:p w14:paraId="641CCBCF">
            <w:pPr>
              <w:pStyle w:val="6"/>
              <w:spacing w:before="23" w:line="220" w:lineRule="auto"/>
              <w:ind w:left="117"/>
              <w:rPr>
                <w:sz w:val="24"/>
                <w:szCs w:val="24"/>
              </w:rPr>
            </w:pPr>
            <w:r>
              <w:rPr>
                <w:spacing w:val="1"/>
                <w:sz w:val="24"/>
                <w:szCs w:val="24"/>
              </w:rPr>
              <w:t>2000m至一级保护</w:t>
            </w:r>
          </w:p>
          <w:p w14:paraId="5AD990FB">
            <w:pPr>
              <w:pStyle w:val="6"/>
              <w:spacing w:before="24" w:line="220" w:lineRule="auto"/>
              <w:ind w:left="227"/>
              <w:rPr>
                <w:sz w:val="24"/>
                <w:szCs w:val="24"/>
              </w:rPr>
            </w:pPr>
            <w:r>
              <w:rPr>
                <w:color w:val="304040"/>
                <w:spacing w:val="2"/>
                <w:sz w:val="24"/>
                <w:szCs w:val="24"/>
              </w:rPr>
              <w:t>区边界向下游延伸</w:t>
            </w:r>
          </w:p>
          <w:p w14:paraId="2FFD8763">
            <w:pPr>
              <w:pStyle w:val="6"/>
              <w:spacing w:before="53" w:line="219" w:lineRule="auto"/>
              <w:ind w:left="107"/>
              <w:rPr>
                <w:sz w:val="24"/>
                <w:szCs w:val="24"/>
              </w:rPr>
            </w:pPr>
            <w:r>
              <w:rPr>
                <w:sz w:val="24"/>
                <w:szCs w:val="24"/>
              </w:rPr>
              <w:t>568m。东北端以平壕</w:t>
            </w:r>
          </w:p>
          <w:p w14:paraId="7B5D9FC3">
            <w:pPr>
              <w:pStyle w:val="6"/>
              <w:spacing w:before="14" w:line="242" w:lineRule="auto"/>
              <w:ind w:left="167" w:right="39"/>
              <w:rPr>
                <w:sz w:val="24"/>
                <w:szCs w:val="24"/>
              </w:rPr>
            </w:pPr>
            <w:r>
              <w:rPr>
                <w:color w:val="304030"/>
                <w:spacing w:val="1"/>
                <w:sz w:val="24"/>
                <w:szCs w:val="24"/>
              </w:rPr>
              <w:t>渠及以北的台地(高</w:t>
            </w:r>
            <w:r>
              <w:rPr>
                <w:color w:val="304030"/>
                <w:sz w:val="24"/>
                <w:szCs w:val="24"/>
              </w:rPr>
              <w:t xml:space="preserve">  程大于1266m)为界，</w:t>
            </w:r>
          </w:p>
          <w:p w14:paraId="180DB94E">
            <w:pPr>
              <w:pStyle w:val="6"/>
              <w:spacing w:before="23" w:line="236" w:lineRule="auto"/>
              <w:ind w:left="48" w:right="21" w:firstLine="179"/>
              <w:rPr>
                <w:sz w:val="24"/>
                <w:szCs w:val="24"/>
              </w:rPr>
            </w:pPr>
            <w:r>
              <w:rPr>
                <w:spacing w:val="1"/>
                <w:sz w:val="24"/>
                <w:szCs w:val="24"/>
              </w:rPr>
              <w:t xml:space="preserve">东南侧以沙明线为  </w:t>
            </w:r>
            <w:r>
              <w:rPr>
                <w:spacing w:val="-14"/>
                <w:sz w:val="24"/>
                <w:szCs w:val="24"/>
              </w:rPr>
              <w:t>界</w:t>
            </w:r>
            <w:r>
              <w:rPr>
                <w:spacing w:val="76"/>
                <w:sz w:val="24"/>
                <w:szCs w:val="24"/>
              </w:rPr>
              <w:t xml:space="preserve"> </w:t>
            </w:r>
            <w:r>
              <w:rPr>
                <w:spacing w:val="-14"/>
                <w:sz w:val="24"/>
                <w:szCs w:val="24"/>
              </w:rPr>
              <w:t>，</w:t>
            </w:r>
            <w:r>
              <w:rPr>
                <w:color w:val="505060"/>
                <w:spacing w:val="-14"/>
                <w:sz w:val="24"/>
                <w:szCs w:val="24"/>
              </w:rPr>
              <w:t>南端以水源地取</w:t>
            </w:r>
            <w:r>
              <w:rPr>
                <w:color w:val="505060"/>
                <w:sz w:val="24"/>
                <w:szCs w:val="24"/>
              </w:rPr>
              <w:t xml:space="preserve"> </w:t>
            </w:r>
            <w:r>
              <w:rPr>
                <w:spacing w:val="8"/>
                <w:sz w:val="24"/>
                <w:szCs w:val="24"/>
              </w:rPr>
              <w:t>水口为中心，半径为</w:t>
            </w:r>
            <w:r>
              <w:rPr>
                <w:sz w:val="24"/>
                <w:szCs w:val="24"/>
              </w:rPr>
              <w:t xml:space="preserve"> </w:t>
            </w:r>
            <w:r>
              <w:rPr>
                <w:spacing w:val="1"/>
                <w:sz w:val="24"/>
                <w:szCs w:val="24"/>
              </w:rPr>
              <w:t>568米的圆弧为界，西</w:t>
            </w:r>
          </w:p>
          <w:p w14:paraId="118774DE">
            <w:pPr>
              <w:pStyle w:val="6"/>
              <w:spacing w:before="1" w:line="218" w:lineRule="auto"/>
              <w:ind w:left="227"/>
              <w:rPr>
                <w:sz w:val="24"/>
                <w:szCs w:val="24"/>
              </w:rPr>
            </w:pPr>
            <w:r>
              <w:rPr>
                <w:color w:val="405050"/>
                <w:spacing w:val="-1"/>
                <w:sz w:val="24"/>
                <w:szCs w:val="24"/>
              </w:rPr>
              <w:t>侧由北向南以青五</w:t>
            </w:r>
          </w:p>
          <w:p w14:paraId="11DAA044">
            <w:pPr>
              <w:pStyle w:val="6"/>
              <w:spacing w:before="25" w:line="219" w:lineRule="auto"/>
              <w:ind w:left="107"/>
              <w:rPr>
                <w:sz w:val="24"/>
                <w:szCs w:val="24"/>
              </w:rPr>
            </w:pPr>
            <w:r>
              <w:rPr>
                <w:spacing w:val="-18"/>
                <w:sz w:val="24"/>
                <w:szCs w:val="24"/>
              </w:rPr>
              <w:t>线</w:t>
            </w:r>
            <w:r>
              <w:rPr>
                <w:spacing w:val="51"/>
                <w:sz w:val="24"/>
                <w:szCs w:val="24"/>
              </w:rPr>
              <w:t xml:space="preserve"> </w:t>
            </w:r>
            <w:r>
              <w:rPr>
                <w:spacing w:val="-18"/>
                <w:sz w:val="24"/>
                <w:szCs w:val="24"/>
              </w:rPr>
              <w:t>、</w:t>
            </w:r>
            <w:r>
              <w:rPr>
                <w:color w:val="304040"/>
                <w:spacing w:val="-18"/>
                <w:sz w:val="24"/>
                <w:szCs w:val="24"/>
              </w:rPr>
              <w:t>乡村道路、</w:t>
            </w:r>
            <w:r>
              <w:rPr>
                <w:spacing w:val="-18"/>
                <w:sz w:val="24"/>
                <w:szCs w:val="24"/>
              </w:rPr>
              <w:t>山脊</w:t>
            </w:r>
          </w:p>
          <w:p w14:paraId="19F62D8E">
            <w:pPr>
              <w:pStyle w:val="6"/>
              <w:spacing w:before="57" w:line="219" w:lineRule="auto"/>
              <w:ind w:left="107"/>
              <w:rPr>
                <w:sz w:val="24"/>
                <w:szCs w:val="24"/>
              </w:rPr>
            </w:pPr>
            <w:r>
              <w:rPr>
                <w:sz w:val="24"/>
                <w:szCs w:val="24"/>
              </w:rPr>
              <w:t>线为界，南端与圆弧</w:t>
            </w:r>
          </w:p>
          <w:p w14:paraId="7EB4B561">
            <w:pPr>
              <w:pStyle w:val="6"/>
              <w:spacing w:before="26" w:line="220" w:lineRule="auto"/>
              <w:ind w:left="227"/>
              <w:rPr>
                <w:sz w:val="24"/>
                <w:szCs w:val="24"/>
              </w:rPr>
            </w:pPr>
            <w:r>
              <w:rPr>
                <w:spacing w:val="1"/>
                <w:sz w:val="24"/>
                <w:szCs w:val="24"/>
              </w:rPr>
              <w:t>相交面积2.0865平</w:t>
            </w:r>
          </w:p>
          <w:p w14:paraId="2EEA9F6E">
            <w:pPr>
              <w:pStyle w:val="6"/>
              <w:spacing w:before="4" w:line="203" w:lineRule="auto"/>
              <w:ind w:left="117"/>
              <w:rPr>
                <w:sz w:val="24"/>
                <w:szCs w:val="24"/>
              </w:rPr>
            </w:pPr>
            <w:r>
              <w:rPr>
                <w:color w:val="405060"/>
                <w:sz w:val="24"/>
                <w:szCs w:val="24"/>
              </w:rPr>
              <w:t>方</w:t>
            </w:r>
            <w:r>
              <w:rPr>
                <w:color w:val="607070"/>
                <w:sz w:val="24"/>
                <w:szCs w:val="24"/>
              </w:rPr>
              <w:t>千米。</w:t>
            </w:r>
          </w:p>
        </w:tc>
        <w:tc>
          <w:tcPr>
            <w:tcW w:w="440" w:type="dxa"/>
            <w:vAlign w:val="top"/>
          </w:tcPr>
          <w:p w14:paraId="7896753A">
            <w:pPr>
              <w:spacing w:line="255" w:lineRule="auto"/>
              <w:rPr>
                <w:rFonts w:ascii="Arial"/>
                <w:sz w:val="21"/>
              </w:rPr>
            </w:pPr>
          </w:p>
          <w:p w14:paraId="76EF684F">
            <w:pPr>
              <w:spacing w:line="255" w:lineRule="auto"/>
              <w:rPr>
                <w:rFonts w:ascii="Arial"/>
                <w:sz w:val="21"/>
              </w:rPr>
            </w:pPr>
          </w:p>
          <w:p w14:paraId="09A1B3D0">
            <w:pPr>
              <w:spacing w:line="256" w:lineRule="auto"/>
              <w:rPr>
                <w:rFonts w:ascii="Arial"/>
                <w:sz w:val="21"/>
              </w:rPr>
            </w:pPr>
          </w:p>
          <w:p w14:paraId="4DE87EAF">
            <w:pPr>
              <w:spacing w:line="256" w:lineRule="auto"/>
              <w:rPr>
                <w:rFonts w:ascii="Arial"/>
                <w:sz w:val="21"/>
              </w:rPr>
            </w:pPr>
          </w:p>
          <w:p w14:paraId="3B77A4A0">
            <w:pPr>
              <w:spacing w:line="256" w:lineRule="auto"/>
              <w:rPr>
                <w:rFonts w:ascii="Arial"/>
                <w:sz w:val="21"/>
              </w:rPr>
            </w:pPr>
          </w:p>
          <w:p w14:paraId="481FE6D6">
            <w:pPr>
              <w:spacing w:line="256" w:lineRule="auto"/>
              <w:rPr>
                <w:rFonts w:ascii="Arial"/>
                <w:sz w:val="21"/>
              </w:rPr>
            </w:pPr>
          </w:p>
          <w:p w14:paraId="599A9F14">
            <w:pPr>
              <w:spacing w:line="256" w:lineRule="auto"/>
              <w:rPr>
                <w:rFonts w:ascii="Arial"/>
                <w:sz w:val="21"/>
              </w:rPr>
            </w:pPr>
          </w:p>
          <w:p w14:paraId="4F023A7E">
            <w:pPr>
              <w:spacing w:line="256" w:lineRule="auto"/>
              <w:rPr>
                <w:rFonts w:ascii="Arial"/>
                <w:sz w:val="21"/>
              </w:rPr>
            </w:pPr>
          </w:p>
          <w:p w14:paraId="391A430E">
            <w:pPr>
              <w:spacing w:line="256" w:lineRule="auto"/>
              <w:rPr>
                <w:rFonts w:ascii="Arial"/>
                <w:sz w:val="21"/>
              </w:rPr>
            </w:pPr>
          </w:p>
          <w:p w14:paraId="5F7A84A8">
            <w:pPr>
              <w:pStyle w:val="6"/>
              <w:spacing w:before="78" w:line="220" w:lineRule="auto"/>
              <w:ind w:right="19"/>
              <w:jc w:val="right"/>
              <w:rPr>
                <w:sz w:val="24"/>
                <w:szCs w:val="24"/>
              </w:rPr>
            </w:pPr>
            <w:r>
              <w:rPr>
                <w:sz w:val="24"/>
                <w:szCs w:val="24"/>
              </w:rPr>
              <w:t>无</w:t>
            </w:r>
          </w:p>
        </w:tc>
        <w:tc>
          <w:tcPr>
            <w:tcW w:w="575" w:type="dxa"/>
            <w:vAlign w:val="top"/>
          </w:tcPr>
          <w:p w14:paraId="3C53694C">
            <w:pPr>
              <w:spacing w:line="255" w:lineRule="auto"/>
              <w:rPr>
                <w:rFonts w:ascii="Arial"/>
                <w:sz w:val="21"/>
              </w:rPr>
            </w:pPr>
          </w:p>
          <w:p w14:paraId="47E84A49">
            <w:pPr>
              <w:spacing w:line="255" w:lineRule="auto"/>
              <w:rPr>
                <w:rFonts w:ascii="Arial"/>
                <w:sz w:val="21"/>
              </w:rPr>
            </w:pPr>
          </w:p>
          <w:p w14:paraId="07991311">
            <w:pPr>
              <w:spacing w:line="256" w:lineRule="auto"/>
              <w:rPr>
                <w:rFonts w:ascii="Arial"/>
                <w:sz w:val="21"/>
              </w:rPr>
            </w:pPr>
          </w:p>
          <w:p w14:paraId="5FACF063">
            <w:pPr>
              <w:spacing w:line="256" w:lineRule="auto"/>
              <w:rPr>
                <w:rFonts w:ascii="Arial"/>
                <w:sz w:val="21"/>
              </w:rPr>
            </w:pPr>
          </w:p>
          <w:p w14:paraId="5A2DE5A9">
            <w:pPr>
              <w:spacing w:line="256" w:lineRule="auto"/>
              <w:rPr>
                <w:rFonts w:ascii="Arial"/>
                <w:sz w:val="21"/>
              </w:rPr>
            </w:pPr>
          </w:p>
          <w:p w14:paraId="2ED5C0B0">
            <w:pPr>
              <w:spacing w:line="256" w:lineRule="auto"/>
              <w:rPr>
                <w:rFonts w:ascii="Arial"/>
                <w:sz w:val="21"/>
              </w:rPr>
            </w:pPr>
          </w:p>
          <w:p w14:paraId="08A0467A">
            <w:pPr>
              <w:spacing w:line="256" w:lineRule="auto"/>
              <w:rPr>
                <w:rFonts w:ascii="Arial"/>
                <w:sz w:val="21"/>
              </w:rPr>
            </w:pPr>
          </w:p>
          <w:p w14:paraId="177FEFE6">
            <w:pPr>
              <w:spacing w:line="256" w:lineRule="auto"/>
              <w:rPr>
                <w:rFonts w:ascii="Arial"/>
                <w:sz w:val="21"/>
              </w:rPr>
            </w:pPr>
          </w:p>
          <w:p w14:paraId="1E1E13B1">
            <w:pPr>
              <w:spacing w:line="256" w:lineRule="auto"/>
              <w:rPr>
                <w:rFonts w:ascii="Arial"/>
                <w:sz w:val="21"/>
              </w:rPr>
            </w:pPr>
          </w:p>
          <w:p w14:paraId="5F96850F">
            <w:pPr>
              <w:pStyle w:val="6"/>
              <w:spacing w:before="78" w:line="223" w:lineRule="auto"/>
              <w:ind w:left="163"/>
              <w:rPr>
                <w:sz w:val="24"/>
                <w:szCs w:val="24"/>
              </w:rPr>
            </w:pPr>
            <w:r>
              <w:rPr>
                <w:b/>
                <w:bCs/>
                <w:spacing w:val="-3"/>
                <w:sz w:val="24"/>
                <w:szCs w:val="24"/>
              </w:rPr>
              <w:t>是</w:t>
            </w:r>
          </w:p>
        </w:tc>
      </w:tr>
    </w:tbl>
    <w:p w14:paraId="44824906">
      <w:pPr>
        <w:rPr>
          <w:rFonts w:ascii="Arial"/>
          <w:sz w:val="21"/>
        </w:rPr>
      </w:pPr>
    </w:p>
    <w:p w14:paraId="7E1ED40A">
      <w:pPr>
        <w:rPr>
          <w:rFonts w:ascii="Arial" w:hAnsi="Arial" w:eastAsia="Arial" w:cs="Arial"/>
          <w:sz w:val="21"/>
          <w:szCs w:val="21"/>
        </w:rPr>
        <w:sectPr>
          <w:footerReference r:id="rId59" w:type="default"/>
          <w:pgSz w:w="16850" w:h="11910"/>
          <w:pgMar w:top="1012" w:right="715" w:bottom="1443" w:left="1264" w:header="0" w:footer="1283" w:gutter="0"/>
          <w:cols w:space="720" w:num="1"/>
        </w:sectPr>
      </w:pPr>
    </w:p>
    <w:p w14:paraId="5D8EC4CB">
      <w:pPr>
        <w:spacing w:line="249" w:lineRule="auto"/>
        <w:rPr>
          <w:rFonts w:ascii="Arial"/>
          <w:sz w:val="21"/>
        </w:rPr>
      </w:pPr>
    </w:p>
    <w:p w14:paraId="049478E0">
      <w:pPr>
        <w:spacing w:line="249" w:lineRule="auto"/>
        <w:rPr>
          <w:rFonts w:ascii="Arial"/>
          <w:sz w:val="21"/>
        </w:rPr>
      </w:pPr>
    </w:p>
    <w:p w14:paraId="71E8CA59">
      <w:pPr>
        <w:spacing w:line="250" w:lineRule="auto"/>
        <w:rPr>
          <w:rFonts w:ascii="Arial"/>
          <w:sz w:val="21"/>
        </w:rPr>
      </w:pPr>
    </w:p>
    <w:p w14:paraId="4B480E00">
      <w:pPr>
        <w:spacing w:before="81" w:line="219" w:lineRule="auto"/>
        <w:ind w:left="4868"/>
        <w:rPr>
          <w:rFonts w:ascii="宋体" w:hAnsi="宋体" w:eastAsia="宋体" w:cs="宋体"/>
          <w:sz w:val="25"/>
          <w:szCs w:val="25"/>
        </w:rPr>
      </w:pPr>
      <w:r>
        <w:rPr>
          <w:rFonts w:ascii="宋体" w:hAnsi="宋体" w:eastAsia="宋体" w:cs="宋体"/>
          <w:b/>
          <w:bCs/>
          <w:spacing w:val="-3"/>
          <w:sz w:val="25"/>
          <w:szCs w:val="25"/>
        </w:rPr>
        <w:t>表2-2包头市石拐区水源保护区主要界点</w:t>
      </w:r>
      <w:r>
        <w:rPr>
          <w:rFonts w:ascii="宋体" w:hAnsi="宋体" w:eastAsia="宋体" w:cs="宋体"/>
          <w:b/>
          <w:bCs/>
          <w:spacing w:val="-4"/>
          <w:sz w:val="25"/>
          <w:szCs w:val="25"/>
        </w:rPr>
        <w:t>坐标</w:t>
      </w:r>
    </w:p>
    <w:p w14:paraId="2BAA5651">
      <w:pPr>
        <w:spacing w:line="71" w:lineRule="exact"/>
      </w:pPr>
    </w:p>
    <w:tbl>
      <w:tblPr>
        <w:tblStyle w:val="5"/>
        <w:tblW w:w="139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3"/>
        <w:gridCol w:w="2339"/>
        <w:gridCol w:w="2328"/>
        <w:gridCol w:w="2318"/>
        <w:gridCol w:w="2338"/>
        <w:gridCol w:w="2324"/>
      </w:tblGrid>
      <w:tr w14:paraId="69375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6980" w:type="dxa"/>
            <w:gridSpan w:val="3"/>
            <w:vAlign w:val="top"/>
          </w:tcPr>
          <w:p w14:paraId="04C60496">
            <w:pPr>
              <w:pStyle w:val="6"/>
              <w:spacing w:before="122" w:line="220" w:lineRule="auto"/>
              <w:ind w:left="2878"/>
              <w:rPr>
                <w:sz w:val="24"/>
                <w:szCs w:val="24"/>
              </w:rPr>
            </w:pPr>
            <w:r>
              <w:rPr>
                <w:b/>
                <w:bCs/>
                <w:sz w:val="24"/>
                <w:szCs w:val="24"/>
              </w:rPr>
              <w:t>一级保护区</w:t>
            </w:r>
          </w:p>
        </w:tc>
        <w:tc>
          <w:tcPr>
            <w:tcW w:w="6980" w:type="dxa"/>
            <w:gridSpan w:val="3"/>
            <w:vAlign w:val="top"/>
          </w:tcPr>
          <w:p w14:paraId="394EA762">
            <w:pPr>
              <w:pStyle w:val="6"/>
              <w:spacing w:before="125" w:line="220" w:lineRule="auto"/>
              <w:ind w:left="2885"/>
              <w:rPr>
                <w:sz w:val="24"/>
                <w:szCs w:val="24"/>
              </w:rPr>
            </w:pPr>
            <w:r>
              <w:rPr>
                <w:spacing w:val="4"/>
                <w:sz w:val="24"/>
                <w:szCs w:val="24"/>
              </w:rPr>
              <w:t>二</w:t>
            </w:r>
            <w:r>
              <w:rPr>
                <w:color w:val="505060"/>
                <w:spacing w:val="4"/>
                <w:sz w:val="24"/>
                <w:szCs w:val="24"/>
              </w:rPr>
              <w:t>级保护区</w:t>
            </w:r>
          </w:p>
        </w:tc>
      </w:tr>
      <w:tr w14:paraId="397FC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313" w:type="dxa"/>
            <w:vAlign w:val="top"/>
          </w:tcPr>
          <w:p w14:paraId="3691919C">
            <w:pPr>
              <w:pStyle w:val="6"/>
              <w:spacing w:before="108" w:line="221" w:lineRule="auto"/>
              <w:ind w:left="908"/>
              <w:rPr>
                <w:sz w:val="24"/>
                <w:szCs w:val="24"/>
              </w:rPr>
            </w:pPr>
            <w:r>
              <w:rPr>
                <w:b/>
                <w:bCs/>
                <w:color w:val="505050"/>
                <w:spacing w:val="4"/>
                <w:sz w:val="24"/>
                <w:szCs w:val="24"/>
              </w:rPr>
              <w:t>界点</w:t>
            </w:r>
          </w:p>
        </w:tc>
        <w:tc>
          <w:tcPr>
            <w:tcW w:w="2339" w:type="dxa"/>
            <w:vAlign w:val="top"/>
          </w:tcPr>
          <w:p w14:paraId="5257F963">
            <w:pPr>
              <w:pStyle w:val="6"/>
              <w:spacing w:before="98" w:line="220" w:lineRule="auto"/>
              <w:ind w:left="705"/>
              <w:rPr>
                <w:sz w:val="26"/>
                <w:szCs w:val="26"/>
              </w:rPr>
            </w:pPr>
            <w:r>
              <w:rPr>
                <w:b/>
                <w:bCs/>
                <w:spacing w:val="7"/>
                <w:sz w:val="26"/>
                <w:szCs w:val="26"/>
              </w:rPr>
              <w:t>经度(E)</w:t>
            </w:r>
          </w:p>
        </w:tc>
        <w:tc>
          <w:tcPr>
            <w:tcW w:w="2328" w:type="dxa"/>
            <w:vAlign w:val="top"/>
          </w:tcPr>
          <w:p w14:paraId="32B2C1A3">
            <w:pPr>
              <w:pStyle w:val="6"/>
              <w:spacing w:before="102" w:line="220" w:lineRule="auto"/>
              <w:ind w:left="702"/>
              <w:rPr>
                <w:sz w:val="26"/>
                <w:szCs w:val="26"/>
              </w:rPr>
            </w:pPr>
            <w:r>
              <w:rPr>
                <w:spacing w:val="11"/>
                <w:sz w:val="26"/>
                <w:szCs w:val="26"/>
              </w:rPr>
              <w:t>纬度(N)</w:t>
            </w:r>
          </w:p>
        </w:tc>
        <w:tc>
          <w:tcPr>
            <w:tcW w:w="2318" w:type="dxa"/>
            <w:vAlign w:val="top"/>
          </w:tcPr>
          <w:p w14:paraId="5FF78B1C">
            <w:pPr>
              <w:pStyle w:val="6"/>
              <w:spacing w:before="112" w:line="221" w:lineRule="auto"/>
              <w:ind w:left="915"/>
              <w:rPr>
                <w:sz w:val="24"/>
                <w:szCs w:val="24"/>
              </w:rPr>
            </w:pPr>
            <w:r>
              <w:rPr>
                <w:color w:val="303040"/>
                <w:spacing w:val="10"/>
                <w:sz w:val="24"/>
                <w:szCs w:val="24"/>
              </w:rPr>
              <w:t>界点</w:t>
            </w:r>
          </w:p>
        </w:tc>
        <w:tc>
          <w:tcPr>
            <w:tcW w:w="2338" w:type="dxa"/>
            <w:vAlign w:val="top"/>
          </w:tcPr>
          <w:p w14:paraId="6144B551">
            <w:pPr>
              <w:pStyle w:val="6"/>
              <w:spacing w:before="102" w:line="220" w:lineRule="auto"/>
              <w:ind w:left="707"/>
              <w:rPr>
                <w:sz w:val="26"/>
                <w:szCs w:val="26"/>
              </w:rPr>
            </w:pPr>
            <w:r>
              <w:rPr>
                <w:spacing w:val="11"/>
                <w:sz w:val="26"/>
                <w:szCs w:val="26"/>
              </w:rPr>
              <w:t>经度(E)</w:t>
            </w:r>
          </w:p>
        </w:tc>
        <w:tc>
          <w:tcPr>
            <w:tcW w:w="2324" w:type="dxa"/>
            <w:vAlign w:val="top"/>
          </w:tcPr>
          <w:p w14:paraId="67EC9D0C">
            <w:pPr>
              <w:pStyle w:val="6"/>
              <w:spacing w:before="102" w:line="220" w:lineRule="auto"/>
              <w:ind w:left="699"/>
              <w:rPr>
                <w:sz w:val="26"/>
                <w:szCs w:val="26"/>
              </w:rPr>
            </w:pPr>
            <w:r>
              <w:rPr>
                <w:color w:val="404040"/>
                <w:spacing w:val="-7"/>
                <w:sz w:val="26"/>
                <w:szCs w:val="26"/>
              </w:rPr>
              <w:t>纬度</w:t>
            </w:r>
            <w:r>
              <w:rPr>
                <w:spacing w:val="-7"/>
                <w:sz w:val="26"/>
                <w:szCs w:val="26"/>
              </w:rPr>
              <w:t>(N)</w:t>
            </w:r>
          </w:p>
        </w:tc>
      </w:tr>
      <w:tr w14:paraId="5A7E7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313" w:type="dxa"/>
            <w:vAlign w:val="top"/>
          </w:tcPr>
          <w:p w14:paraId="7D19A5A5">
            <w:pPr>
              <w:pStyle w:val="6"/>
              <w:spacing w:before="171" w:line="184" w:lineRule="auto"/>
              <w:ind w:left="1025"/>
              <w:rPr>
                <w:sz w:val="24"/>
                <w:szCs w:val="24"/>
              </w:rPr>
            </w:pPr>
            <w:r>
              <w:rPr>
                <w:spacing w:val="-1"/>
                <w:sz w:val="24"/>
                <w:szCs w:val="24"/>
              </w:rPr>
              <w:t>A1</w:t>
            </w:r>
          </w:p>
        </w:tc>
        <w:tc>
          <w:tcPr>
            <w:tcW w:w="2339" w:type="dxa"/>
            <w:vAlign w:val="top"/>
          </w:tcPr>
          <w:p w14:paraId="0BDBC816">
            <w:pPr>
              <w:pStyle w:val="6"/>
              <w:spacing w:before="156" w:line="239" w:lineRule="auto"/>
              <w:ind w:left="532"/>
              <w:rPr>
                <w:sz w:val="18"/>
                <w:szCs w:val="18"/>
              </w:rPr>
            </w:pPr>
            <w:r>
              <w:rPr>
                <w:spacing w:val="-2"/>
                <w:sz w:val="18"/>
                <w:szCs w:val="18"/>
              </w:rPr>
              <w:t>110°15'45.76"</w:t>
            </w:r>
          </w:p>
        </w:tc>
        <w:tc>
          <w:tcPr>
            <w:tcW w:w="2328" w:type="dxa"/>
            <w:vAlign w:val="top"/>
          </w:tcPr>
          <w:p w14:paraId="6DF26570">
            <w:pPr>
              <w:pStyle w:val="6"/>
              <w:spacing w:before="156" w:line="239" w:lineRule="auto"/>
              <w:ind w:left="523"/>
              <w:rPr>
                <w:sz w:val="18"/>
                <w:szCs w:val="18"/>
              </w:rPr>
            </w:pPr>
            <w:r>
              <w:rPr>
                <w:spacing w:val="6"/>
                <w:sz w:val="18"/>
                <w:szCs w:val="18"/>
              </w:rPr>
              <w:t>40°42'38.68”</w:t>
            </w:r>
          </w:p>
        </w:tc>
        <w:tc>
          <w:tcPr>
            <w:tcW w:w="2318" w:type="dxa"/>
            <w:vAlign w:val="top"/>
          </w:tcPr>
          <w:p w14:paraId="260052D4">
            <w:pPr>
              <w:pStyle w:val="6"/>
              <w:spacing w:before="171" w:line="184" w:lineRule="auto"/>
              <w:ind w:left="1035"/>
              <w:rPr>
                <w:sz w:val="24"/>
                <w:szCs w:val="24"/>
              </w:rPr>
            </w:pPr>
            <w:r>
              <w:rPr>
                <w:spacing w:val="-1"/>
                <w:sz w:val="24"/>
                <w:szCs w:val="24"/>
              </w:rPr>
              <w:t>B1</w:t>
            </w:r>
          </w:p>
        </w:tc>
        <w:tc>
          <w:tcPr>
            <w:tcW w:w="2338" w:type="dxa"/>
            <w:vAlign w:val="top"/>
          </w:tcPr>
          <w:p w14:paraId="2EF7EFA9">
            <w:pPr>
              <w:pStyle w:val="6"/>
              <w:spacing w:before="156" w:line="239" w:lineRule="auto"/>
              <w:ind w:left="537"/>
              <w:rPr>
                <w:sz w:val="18"/>
                <w:szCs w:val="18"/>
              </w:rPr>
            </w:pPr>
            <w:r>
              <w:rPr>
                <w:spacing w:val="-2"/>
                <w:sz w:val="18"/>
                <w:szCs w:val="18"/>
              </w:rPr>
              <w:t>110°15'35.48"</w:t>
            </w:r>
          </w:p>
        </w:tc>
        <w:tc>
          <w:tcPr>
            <w:tcW w:w="2324" w:type="dxa"/>
            <w:vAlign w:val="top"/>
          </w:tcPr>
          <w:p w14:paraId="325F6695">
            <w:pPr>
              <w:pStyle w:val="6"/>
              <w:spacing w:before="156" w:line="239" w:lineRule="auto"/>
              <w:ind w:left="569"/>
              <w:rPr>
                <w:sz w:val="18"/>
                <w:szCs w:val="18"/>
              </w:rPr>
            </w:pPr>
            <w:r>
              <w:rPr>
                <w:spacing w:val="-1"/>
                <w:sz w:val="18"/>
                <w:szCs w:val="18"/>
              </w:rPr>
              <w:t>40°42'23.46"</w:t>
            </w:r>
          </w:p>
        </w:tc>
      </w:tr>
      <w:tr w14:paraId="21E81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313" w:type="dxa"/>
            <w:vAlign w:val="top"/>
          </w:tcPr>
          <w:p w14:paraId="2C942CCF">
            <w:pPr>
              <w:pStyle w:val="6"/>
              <w:spacing w:before="181" w:line="184" w:lineRule="auto"/>
              <w:ind w:left="1025"/>
              <w:rPr>
                <w:sz w:val="24"/>
                <w:szCs w:val="24"/>
              </w:rPr>
            </w:pPr>
            <w:r>
              <w:rPr>
                <w:spacing w:val="-1"/>
                <w:sz w:val="24"/>
                <w:szCs w:val="24"/>
              </w:rPr>
              <w:t>A2</w:t>
            </w:r>
          </w:p>
        </w:tc>
        <w:tc>
          <w:tcPr>
            <w:tcW w:w="2339" w:type="dxa"/>
            <w:vAlign w:val="top"/>
          </w:tcPr>
          <w:p w14:paraId="13A03406">
            <w:pPr>
              <w:pStyle w:val="6"/>
              <w:spacing w:before="166" w:line="239" w:lineRule="auto"/>
              <w:ind w:left="532"/>
              <w:rPr>
                <w:sz w:val="18"/>
                <w:szCs w:val="18"/>
              </w:rPr>
            </w:pPr>
            <w:r>
              <w:rPr>
                <w:spacing w:val="-2"/>
                <w:sz w:val="18"/>
                <w:szCs w:val="18"/>
              </w:rPr>
              <w:t>110°15'39.15"</w:t>
            </w:r>
          </w:p>
        </w:tc>
        <w:tc>
          <w:tcPr>
            <w:tcW w:w="2328" w:type="dxa"/>
            <w:vAlign w:val="top"/>
          </w:tcPr>
          <w:p w14:paraId="47930CAC">
            <w:pPr>
              <w:pStyle w:val="6"/>
              <w:spacing w:before="166" w:line="239" w:lineRule="auto"/>
              <w:ind w:left="573"/>
              <w:rPr>
                <w:sz w:val="18"/>
                <w:szCs w:val="18"/>
              </w:rPr>
            </w:pPr>
            <w:r>
              <w:rPr>
                <w:spacing w:val="-1"/>
                <w:sz w:val="18"/>
                <w:szCs w:val="18"/>
              </w:rPr>
              <w:t>40°42'37.76"</w:t>
            </w:r>
          </w:p>
        </w:tc>
        <w:tc>
          <w:tcPr>
            <w:tcW w:w="2318" w:type="dxa"/>
            <w:vAlign w:val="top"/>
          </w:tcPr>
          <w:p w14:paraId="0ACC38E3">
            <w:pPr>
              <w:pStyle w:val="6"/>
              <w:spacing w:before="182" w:line="183" w:lineRule="auto"/>
              <w:ind w:left="1035"/>
              <w:rPr>
                <w:sz w:val="24"/>
                <w:szCs w:val="24"/>
              </w:rPr>
            </w:pPr>
            <w:r>
              <w:rPr>
                <w:spacing w:val="-1"/>
                <w:sz w:val="24"/>
                <w:szCs w:val="24"/>
              </w:rPr>
              <w:t>B2</w:t>
            </w:r>
          </w:p>
        </w:tc>
        <w:tc>
          <w:tcPr>
            <w:tcW w:w="2338" w:type="dxa"/>
            <w:vAlign w:val="top"/>
          </w:tcPr>
          <w:p w14:paraId="01D04247">
            <w:pPr>
              <w:pStyle w:val="6"/>
              <w:spacing w:before="166" w:line="239" w:lineRule="auto"/>
              <w:ind w:left="537"/>
              <w:rPr>
                <w:sz w:val="18"/>
                <w:szCs w:val="18"/>
              </w:rPr>
            </w:pPr>
            <w:r>
              <w:rPr>
                <w:spacing w:val="-2"/>
                <w:sz w:val="18"/>
                <w:szCs w:val="18"/>
              </w:rPr>
              <w:t>110°15'22.77"</w:t>
            </w:r>
          </w:p>
        </w:tc>
        <w:tc>
          <w:tcPr>
            <w:tcW w:w="2324" w:type="dxa"/>
            <w:vAlign w:val="top"/>
          </w:tcPr>
          <w:p w14:paraId="7DF6E92B">
            <w:pPr>
              <w:pStyle w:val="6"/>
              <w:spacing w:before="166" w:line="239" w:lineRule="auto"/>
              <w:ind w:left="529"/>
              <w:rPr>
                <w:sz w:val="18"/>
                <w:szCs w:val="18"/>
              </w:rPr>
            </w:pPr>
            <w:r>
              <w:rPr>
                <w:spacing w:val="6"/>
                <w:sz w:val="18"/>
                <w:szCs w:val="18"/>
              </w:rPr>
              <w:t>40°42'47.87”</w:t>
            </w:r>
          </w:p>
        </w:tc>
      </w:tr>
      <w:tr w14:paraId="1986A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313" w:type="dxa"/>
            <w:vAlign w:val="top"/>
          </w:tcPr>
          <w:p w14:paraId="09723D71">
            <w:pPr>
              <w:pStyle w:val="6"/>
              <w:spacing w:before="191" w:line="185" w:lineRule="auto"/>
              <w:ind w:left="1025"/>
              <w:rPr>
                <w:sz w:val="24"/>
                <w:szCs w:val="24"/>
              </w:rPr>
            </w:pPr>
            <w:r>
              <w:rPr>
                <w:spacing w:val="-1"/>
                <w:sz w:val="24"/>
                <w:szCs w:val="24"/>
              </w:rPr>
              <w:t>A3</w:t>
            </w:r>
          </w:p>
        </w:tc>
        <w:tc>
          <w:tcPr>
            <w:tcW w:w="2339" w:type="dxa"/>
            <w:vAlign w:val="top"/>
          </w:tcPr>
          <w:p w14:paraId="2474FA40">
            <w:pPr>
              <w:pStyle w:val="6"/>
              <w:spacing w:before="177" w:line="239" w:lineRule="auto"/>
              <w:ind w:left="482"/>
              <w:rPr>
                <w:sz w:val="18"/>
                <w:szCs w:val="18"/>
              </w:rPr>
            </w:pPr>
            <w:r>
              <w:rPr>
                <w:spacing w:val="5"/>
                <w:sz w:val="18"/>
                <w:szCs w:val="18"/>
              </w:rPr>
              <w:t>110°15'36.32”</w:t>
            </w:r>
          </w:p>
        </w:tc>
        <w:tc>
          <w:tcPr>
            <w:tcW w:w="2328" w:type="dxa"/>
            <w:vAlign w:val="top"/>
          </w:tcPr>
          <w:p w14:paraId="3C90E8ED">
            <w:pPr>
              <w:pStyle w:val="6"/>
              <w:spacing w:before="177" w:line="239" w:lineRule="auto"/>
              <w:ind w:left="573"/>
              <w:rPr>
                <w:sz w:val="18"/>
                <w:szCs w:val="18"/>
              </w:rPr>
            </w:pPr>
            <w:r>
              <w:rPr>
                <w:spacing w:val="-1"/>
                <w:sz w:val="18"/>
                <w:szCs w:val="18"/>
              </w:rPr>
              <w:t>40°42'58.41"</w:t>
            </w:r>
          </w:p>
        </w:tc>
        <w:tc>
          <w:tcPr>
            <w:tcW w:w="2318" w:type="dxa"/>
            <w:vAlign w:val="top"/>
          </w:tcPr>
          <w:p w14:paraId="51F73FF3">
            <w:pPr>
              <w:pStyle w:val="6"/>
              <w:spacing w:before="193" w:line="183" w:lineRule="auto"/>
              <w:ind w:left="1035"/>
              <w:rPr>
                <w:sz w:val="24"/>
                <w:szCs w:val="24"/>
              </w:rPr>
            </w:pPr>
            <w:r>
              <w:rPr>
                <w:spacing w:val="-1"/>
                <w:sz w:val="24"/>
                <w:szCs w:val="24"/>
              </w:rPr>
              <w:t>B3</w:t>
            </w:r>
          </w:p>
        </w:tc>
        <w:tc>
          <w:tcPr>
            <w:tcW w:w="2338" w:type="dxa"/>
            <w:vAlign w:val="top"/>
          </w:tcPr>
          <w:p w14:paraId="17428885">
            <w:pPr>
              <w:pStyle w:val="6"/>
              <w:spacing w:before="177" w:line="239" w:lineRule="auto"/>
              <w:ind w:left="487"/>
              <w:rPr>
                <w:sz w:val="18"/>
                <w:szCs w:val="18"/>
              </w:rPr>
            </w:pPr>
            <w:r>
              <w:rPr>
                <w:spacing w:val="5"/>
                <w:sz w:val="18"/>
                <w:szCs w:val="18"/>
              </w:rPr>
              <w:t>110°15'19.28”</w:t>
            </w:r>
          </w:p>
        </w:tc>
        <w:tc>
          <w:tcPr>
            <w:tcW w:w="2324" w:type="dxa"/>
            <w:vAlign w:val="top"/>
          </w:tcPr>
          <w:p w14:paraId="11FFA683">
            <w:pPr>
              <w:pStyle w:val="6"/>
              <w:spacing w:before="177" w:line="239" w:lineRule="auto"/>
              <w:ind w:left="569"/>
              <w:rPr>
                <w:sz w:val="18"/>
                <w:szCs w:val="18"/>
              </w:rPr>
            </w:pPr>
            <w:r>
              <w:rPr>
                <w:spacing w:val="-1"/>
                <w:sz w:val="18"/>
                <w:szCs w:val="18"/>
              </w:rPr>
              <w:t>40°42'54.51"</w:t>
            </w:r>
          </w:p>
        </w:tc>
      </w:tr>
      <w:tr w14:paraId="5C453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2313" w:type="dxa"/>
            <w:vAlign w:val="top"/>
          </w:tcPr>
          <w:p w14:paraId="13D47D14">
            <w:pPr>
              <w:pStyle w:val="6"/>
              <w:spacing w:before="173" w:line="184" w:lineRule="auto"/>
              <w:ind w:left="1025"/>
              <w:rPr>
                <w:sz w:val="24"/>
                <w:szCs w:val="24"/>
              </w:rPr>
            </w:pPr>
            <w:r>
              <w:rPr>
                <w:spacing w:val="-1"/>
                <w:sz w:val="24"/>
                <w:szCs w:val="24"/>
              </w:rPr>
              <w:t>A4</w:t>
            </w:r>
          </w:p>
        </w:tc>
        <w:tc>
          <w:tcPr>
            <w:tcW w:w="2339" w:type="dxa"/>
            <w:vAlign w:val="top"/>
          </w:tcPr>
          <w:p w14:paraId="56E8C7C7">
            <w:pPr>
              <w:pStyle w:val="6"/>
              <w:spacing w:before="158" w:line="239" w:lineRule="auto"/>
              <w:ind w:left="532"/>
              <w:rPr>
                <w:sz w:val="18"/>
                <w:szCs w:val="18"/>
              </w:rPr>
            </w:pPr>
            <w:r>
              <w:rPr>
                <w:spacing w:val="-2"/>
                <w:sz w:val="18"/>
                <w:szCs w:val="18"/>
              </w:rPr>
              <w:t>110°15'29.06"</w:t>
            </w:r>
          </w:p>
        </w:tc>
        <w:tc>
          <w:tcPr>
            <w:tcW w:w="2328" w:type="dxa"/>
            <w:vAlign w:val="top"/>
          </w:tcPr>
          <w:p w14:paraId="5CB21337">
            <w:pPr>
              <w:pStyle w:val="6"/>
              <w:spacing w:before="158" w:line="239" w:lineRule="auto"/>
              <w:ind w:left="523"/>
              <w:rPr>
                <w:sz w:val="18"/>
                <w:szCs w:val="18"/>
              </w:rPr>
            </w:pPr>
            <w:r>
              <w:rPr>
                <w:spacing w:val="6"/>
                <w:sz w:val="18"/>
                <w:szCs w:val="18"/>
              </w:rPr>
              <w:t>40°43'09.84”</w:t>
            </w:r>
          </w:p>
        </w:tc>
        <w:tc>
          <w:tcPr>
            <w:tcW w:w="2318" w:type="dxa"/>
            <w:vAlign w:val="top"/>
          </w:tcPr>
          <w:p w14:paraId="30DF343E">
            <w:pPr>
              <w:pStyle w:val="6"/>
              <w:spacing w:before="174" w:line="183" w:lineRule="auto"/>
              <w:ind w:left="1035"/>
              <w:rPr>
                <w:sz w:val="24"/>
                <w:szCs w:val="24"/>
              </w:rPr>
            </w:pPr>
            <w:r>
              <w:rPr>
                <w:spacing w:val="-1"/>
                <w:sz w:val="24"/>
                <w:szCs w:val="24"/>
              </w:rPr>
              <w:t>B4</w:t>
            </w:r>
          </w:p>
        </w:tc>
        <w:tc>
          <w:tcPr>
            <w:tcW w:w="2338" w:type="dxa"/>
            <w:vAlign w:val="top"/>
          </w:tcPr>
          <w:p w14:paraId="3A6B8B54">
            <w:pPr>
              <w:pStyle w:val="6"/>
              <w:spacing w:before="158" w:line="239" w:lineRule="auto"/>
              <w:ind w:left="537"/>
              <w:rPr>
                <w:sz w:val="18"/>
                <w:szCs w:val="18"/>
              </w:rPr>
            </w:pPr>
            <w:r>
              <w:rPr>
                <w:spacing w:val="-2"/>
                <w:sz w:val="18"/>
                <w:szCs w:val="18"/>
              </w:rPr>
              <w:t>110°15'17.61"</w:t>
            </w:r>
          </w:p>
        </w:tc>
        <w:tc>
          <w:tcPr>
            <w:tcW w:w="2324" w:type="dxa"/>
            <w:vAlign w:val="top"/>
          </w:tcPr>
          <w:p w14:paraId="201F4A6A">
            <w:pPr>
              <w:pStyle w:val="6"/>
              <w:spacing w:before="158" w:line="239" w:lineRule="auto"/>
              <w:ind w:left="529"/>
              <w:rPr>
                <w:sz w:val="18"/>
                <w:szCs w:val="18"/>
              </w:rPr>
            </w:pPr>
            <w:r>
              <w:rPr>
                <w:spacing w:val="6"/>
                <w:sz w:val="18"/>
                <w:szCs w:val="18"/>
              </w:rPr>
              <w:t>40°42'56.09”</w:t>
            </w:r>
          </w:p>
        </w:tc>
      </w:tr>
      <w:tr w14:paraId="693B9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313" w:type="dxa"/>
            <w:vAlign w:val="top"/>
          </w:tcPr>
          <w:p w14:paraId="4A8947CF">
            <w:pPr>
              <w:pStyle w:val="6"/>
              <w:spacing w:before="183" w:line="185" w:lineRule="auto"/>
              <w:ind w:left="1025"/>
              <w:rPr>
                <w:sz w:val="24"/>
                <w:szCs w:val="24"/>
              </w:rPr>
            </w:pPr>
            <w:r>
              <w:rPr>
                <w:spacing w:val="-1"/>
                <w:sz w:val="24"/>
                <w:szCs w:val="24"/>
              </w:rPr>
              <w:t>A5</w:t>
            </w:r>
          </w:p>
        </w:tc>
        <w:tc>
          <w:tcPr>
            <w:tcW w:w="2339" w:type="dxa"/>
            <w:vAlign w:val="top"/>
          </w:tcPr>
          <w:p w14:paraId="7AB99D60">
            <w:pPr>
              <w:pStyle w:val="6"/>
              <w:spacing w:before="169" w:line="239" w:lineRule="auto"/>
              <w:ind w:left="532"/>
              <w:rPr>
                <w:sz w:val="18"/>
                <w:szCs w:val="18"/>
              </w:rPr>
            </w:pPr>
            <w:r>
              <w:rPr>
                <w:spacing w:val="-2"/>
                <w:sz w:val="18"/>
                <w:szCs w:val="18"/>
              </w:rPr>
              <w:t>110°15'35.37"</w:t>
            </w:r>
          </w:p>
        </w:tc>
        <w:tc>
          <w:tcPr>
            <w:tcW w:w="2328" w:type="dxa"/>
            <w:vAlign w:val="top"/>
          </w:tcPr>
          <w:p w14:paraId="47C95BD4">
            <w:pPr>
              <w:pStyle w:val="6"/>
              <w:spacing w:before="169" w:line="239" w:lineRule="auto"/>
              <w:ind w:left="573"/>
              <w:rPr>
                <w:sz w:val="18"/>
                <w:szCs w:val="18"/>
              </w:rPr>
            </w:pPr>
            <w:r>
              <w:rPr>
                <w:spacing w:val="-1"/>
                <w:sz w:val="18"/>
                <w:szCs w:val="18"/>
              </w:rPr>
              <w:t>40°43'14.23"</w:t>
            </w:r>
          </w:p>
        </w:tc>
        <w:tc>
          <w:tcPr>
            <w:tcW w:w="2318" w:type="dxa"/>
            <w:vAlign w:val="top"/>
          </w:tcPr>
          <w:p w14:paraId="4B389E28">
            <w:pPr>
              <w:pStyle w:val="6"/>
              <w:spacing w:before="187" w:line="182" w:lineRule="auto"/>
              <w:ind w:left="1035"/>
              <w:rPr>
                <w:sz w:val="24"/>
                <w:szCs w:val="24"/>
              </w:rPr>
            </w:pPr>
            <w:r>
              <w:rPr>
                <w:spacing w:val="-1"/>
                <w:sz w:val="24"/>
                <w:szCs w:val="24"/>
              </w:rPr>
              <w:t>B5</w:t>
            </w:r>
          </w:p>
        </w:tc>
        <w:tc>
          <w:tcPr>
            <w:tcW w:w="2338" w:type="dxa"/>
            <w:vAlign w:val="top"/>
          </w:tcPr>
          <w:p w14:paraId="6C3FB47D">
            <w:pPr>
              <w:pStyle w:val="6"/>
              <w:spacing w:before="169" w:line="239" w:lineRule="auto"/>
              <w:ind w:left="537"/>
              <w:rPr>
                <w:sz w:val="18"/>
                <w:szCs w:val="18"/>
              </w:rPr>
            </w:pPr>
            <w:r>
              <w:rPr>
                <w:spacing w:val="-2"/>
                <w:sz w:val="18"/>
                <w:szCs w:val="18"/>
              </w:rPr>
              <w:t>110°15'03.33"</w:t>
            </w:r>
          </w:p>
        </w:tc>
        <w:tc>
          <w:tcPr>
            <w:tcW w:w="2324" w:type="dxa"/>
            <w:vAlign w:val="top"/>
          </w:tcPr>
          <w:p w14:paraId="0C77B925">
            <w:pPr>
              <w:pStyle w:val="6"/>
              <w:spacing w:before="169" w:line="239" w:lineRule="auto"/>
              <w:ind w:left="529"/>
              <w:rPr>
                <w:sz w:val="18"/>
                <w:szCs w:val="18"/>
              </w:rPr>
            </w:pPr>
            <w:r>
              <w:rPr>
                <w:spacing w:val="6"/>
                <w:sz w:val="18"/>
                <w:szCs w:val="18"/>
              </w:rPr>
              <w:t>40°43'25.74”</w:t>
            </w:r>
          </w:p>
        </w:tc>
      </w:tr>
      <w:tr w14:paraId="3530E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313" w:type="dxa"/>
            <w:vAlign w:val="top"/>
          </w:tcPr>
          <w:p w14:paraId="663A40DB">
            <w:pPr>
              <w:pStyle w:val="6"/>
              <w:spacing w:before="184" w:line="185" w:lineRule="auto"/>
              <w:ind w:left="1025"/>
              <w:rPr>
                <w:sz w:val="24"/>
                <w:szCs w:val="24"/>
              </w:rPr>
            </w:pPr>
            <w:r>
              <w:rPr>
                <w:spacing w:val="-1"/>
                <w:sz w:val="24"/>
                <w:szCs w:val="24"/>
              </w:rPr>
              <w:t>A6</w:t>
            </w:r>
          </w:p>
        </w:tc>
        <w:tc>
          <w:tcPr>
            <w:tcW w:w="2339" w:type="dxa"/>
            <w:vAlign w:val="top"/>
          </w:tcPr>
          <w:p w14:paraId="577DEE96">
            <w:pPr>
              <w:pStyle w:val="6"/>
              <w:spacing w:before="170" w:line="239" w:lineRule="auto"/>
              <w:ind w:left="482"/>
              <w:rPr>
                <w:sz w:val="18"/>
                <w:szCs w:val="18"/>
              </w:rPr>
            </w:pPr>
            <w:r>
              <w:rPr>
                <w:spacing w:val="6"/>
                <w:sz w:val="18"/>
                <w:szCs w:val="18"/>
              </w:rPr>
              <w:t>110°15'39</w:t>
            </w:r>
            <w:r>
              <w:rPr>
                <w:color w:val="405050"/>
                <w:spacing w:val="6"/>
                <w:sz w:val="18"/>
                <w:szCs w:val="18"/>
              </w:rPr>
              <w:t>.44”</w:t>
            </w:r>
          </w:p>
        </w:tc>
        <w:tc>
          <w:tcPr>
            <w:tcW w:w="2328" w:type="dxa"/>
            <w:vAlign w:val="top"/>
          </w:tcPr>
          <w:p w14:paraId="75B42A85">
            <w:pPr>
              <w:pStyle w:val="6"/>
              <w:spacing w:before="170" w:line="239" w:lineRule="auto"/>
              <w:ind w:left="573"/>
              <w:rPr>
                <w:sz w:val="18"/>
                <w:szCs w:val="18"/>
              </w:rPr>
            </w:pPr>
            <w:r>
              <w:rPr>
                <w:spacing w:val="-1"/>
                <w:sz w:val="18"/>
                <w:szCs w:val="18"/>
              </w:rPr>
              <w:t>40°43'09.53"</w:t>
            </w:r>
          </w:p>
        </w:tc>
        <w:tc>
          <w:tcPr>
            <w:tcW w:w="2318" w:type="dxa"/>
            <w:vAlign w:val="top"/>
          </w:tcPr>
          <w:p w14:paraId="57A4BD8D">
            <w:pPr>
              <w:pStyle w:val="6"/>
              <w:spacing w:before="186" w:line="183" w:lineRule="auto"/>
              <w:ind w:left="1035"/>
              <w:rPr>
                <w:sz w:val="24"/>
                <w:szCs w:val="24"/>
              </w:rPr>
            </w:pPr>
            <w:r>
              <w:rPr>
                <w:spacing w:val="-1"/>
                <w:sz w:val="24"/>
                <w:szCs w:val="24"/>
              </w:rPr>
              <w:t>B6</w:t>
            </w:r>
          </w:p>
        </w:tc>
        <w:tc>
          <w:tcPr>
            <w:tcW w:w="2338" w:type="dxa"/>
            <w:vAlign w:val="top"/>
          </w:tcPr>
          <w:p w14:paraId="46FCB523">
            <w:pPr>
              <w:pStyle w:val="6"/>
              <w:spacing w:before="170" w:line="239" w:lineRule="auto"/>
              <w:ind w:left="487"/>
              <w:rPr>
                <w:sz w:val="18"/>
                <w:szCs w:val="18"/>
              </w:rPr>
            </w:pPr>
            <w:r>
              <w:rPr>
                <w:spacing w:val="5"/>
                <w:sz w:val="18"/>
                <w:szCs w:val="18"/>
              </w:rPr>
              <w:t>110°15'01.38”</w:t>
            </w:r>
          </w:p>
        </w:tc>
        <w:tc>
          <w:tcPr>
            <w:tcW w:w="2324" w:type="dxa"/>
            <w:vAlign w:val="top"/>
          </w:tcPr>
          <w:p w14:paraId="2E870C09">
            <w:pPr>
              <w:pStyle w:val="6"/>
              <w:spacing w:before="170" w:line="239" w:lineRule="auto"/>
              <w:ind w:left="529"/>
              <w:rPr>
                <w:sz w:val="18"/>
                <w:szCs w:val="18"/>
              </w:rPr>
            </w:pPr>
            <w:r>
              <w:rPr>
                <w:spacing w:val="6"/>
                <w:sz w:val="18"/>
                <w:szCs w:val="18"/>
              </w:rPr>
              <w:t>40°43'37.98”</w:t>
            </w:r>
          </w:p>
        </w:tc>
      </w:tr>
      <w:tr w14:paraId="089A5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313" w:type="dxa"/>
            <w:vAlign w:val="top"/>
          </w:tcPr>
          <w:p w14:paraId="43E9B1A5">
            <w:pPr>
              <w:pStyle w:val="6"/>
              <w:spacing w:before="184" w:line="185" w:lineRule="auto"/>
              <w:ind w:left="1025"/>
              <w:rPr>
                <w:sz w:val="24"/>
                <w:szCs w:val="24"/>
              </w:rPr>
            </w:pPr>
            <w:r>
              <w:rPr>
                <w:spacing w:val="-1"/>
                <w:sz w:val="24"/>
                <w:szCs w:val="24"/>
              </w:rPr>
              <w:t>A7</w:t>
            </w:r>
          </w:p>
        </w:tc>
        <w:tc>
          <w:tcPr>
            <w:tcW w:w="2339" w:type="dxa"/>
            <w:vAlign w:val="top"/>
          </w:tcPr>
          <w:p w14:paraId="7B0532AB">
            <w:pPr>
              <w:pStyle w:val="6"/>
              <w:spacing w:before="170" w:line="239" w:lineRule="auto"/>
              <w:ind w:left="482"/>
              <w:rPr>
                <w:sz w:val="18"/>
                <w:szCs w:val="18"/>
              </w:rPr>
            </w:pPr>
            <w:r>
              <w:rPr>
                <w:spacing w:val="5"/>
                <w:sz w:val="18"/>
                <w:szCs w:val="18"/>
              </w:rPr>
              <w:t>110°15'43.43”</w:t>
            </w:r>
          </w:p>
        </w:tc>
        <w:tc>
          <w:tcPr>
            <w:tcW w:w="2328" w:type="dxa"/>
            <w:vAlign w:val="top"/>
          </w:tcPr>
          <w:p w14:paraId="6046DD62">
            <w:pPr>
              <w:pStyle w:val="6"/>
              <w:spacing w:before="170" w:line="239" w:lineRule="auto"/>
              <w:ind w:left="573"/>
              <w:rPr>
                <w:sz w:val="18"/>
                <w:szCs w:val="18"/>
              </w:rPr>
            </w:pPr>
            <w:r>
              <w:rPr>
                <w:spacing w:val="-1"/>
                <w:sz w:val="18"/>
                <w:szCs w:val="18"/>
              </w:rPr>
              <w:t>40°42'50.35"</w:t>
            </w:r>
          </w:p>
        </w:tc>
        <w:tc>
          <w:tcPr>
            <w:tcW w:w="2318" w:type="dxa"/>
            <w:vAlign w:val="top"/>
          </w:tcPr>
          <w:p w14:paraId="46A3CD52">
            <w:pPr>
              <w:pStyle w:val="6"/>
              <w:spacing w:before="188" w:line="182" w:lineRule="auto"/>
              <w:ind w:left="1035"/>
              <w:rPr>
                <w:sz w:val="24"/>
                <w:szCs w:val="24"/>
              </w:rPr>
            </w:pPr>
            <w:r>
              <w:rPr>
                <w:spacing w:val="-1"/>
                <w:sz w:val="24"/>
                <w:szCs w:val="24"/>
              </w:rPr>
              <w:t>B7</w:t>
            </w:r>
          </w:p>
        </w:tc>
        <w:tc>
          <w:tcPr>
            <w:tcW w:w="2338" w:type="dxa"/>
            <w:vAlign w:val="top"/>
          </w:tcPr>
          <w:p w14:paraId="49305396">
            <w:pPr>
              <w:pStyle w:val="6"/>
              <w:spacing w:before="170" w:line="239" w:lineRule="auto"/>
              <w:ind w:left="487"/>
              <w:rPr>
                <w:sz w:val="18"/>
                <w:szCs w:val="18"/>
              </w:rPr>
            </w:pPr>
            <w:r>
              <w:rPr>
                <w:spacing w:val="5"/>
                <w:sz w:val="18"/>
                <w:szCs w:val="18"/>
              </w:rPr>
              <w:t>110°15'15.60”</w:t>
            </w:r>
          </w:p>
        </w:tc>
        <w:tc>
          <w:tcPr>
            <w:tcW w:w="2324" w:type="dxa"/>
            <w:vAlign w:val="top"/>
          </w:tcPr>
          <w:p w14:paraId="4DFCA29E">
            <w:pPr>
              <w:pStyle w:val="6"/>
              <w:spacing w:before="170" w:line="239" w:lineRule="auto"/>
              <w:ind w:left="529"/>
              <w:rPr>
                <w:sz w:val="18"/>
                <w:szCs w:val="18"/>
              </w:rPr>
            </w:pPr>
            <w:r>
              <w:rPr>
                <w:spacing w:val="6"/>
                <w:sz w:val="18"/>
                <w:szCs w:val="18"/>
              </w:rPr>
              <w:t>40°44'09.52”</w:t>
            </w:r>
          </w:p>
        </w:tc>
      </w:tr>
      <w:tr w14:paraId="46EF1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313" w:type="dxa"/>
            <w:vAlign w:val="top"/>
          </w:tcPr>
          <w:p w14:paraId="74419CED">
            <w:pPr>
              <w:rPr>
                <w:rFonts w:ascii="Arial"/>
                <w:sz w:val="21"/>
              </w:rPr>
            </w:pPr>
          </w:p>
        </w:tc>
        <w:tc>
          <w:tcPr>
            <w:tcW w:w="2339" w:type="dxa"/>
            <w:vAlign w:val="top"/>
          </w:tcPr>
          <w:p w14:paraId="209C5F1A">
            <w:pPr>
              <w:rPr>
                <w:rFonts w:ascii="Arial"/>
                <w:sz w:val="21"/>
              </w:rPr>
            </w:pPr>
          </w:p>
        </w:tc>
        <w:tc>
          <w:tcPr>
            <w:tcW w:w="2328" w:type="dxa"/>
            <w:vAlign w:val="top"/>
          </w:tcPr>
          <w:p w14:paraId="472230DC">
            <w:pPr>
              <w:rPr>
                <w:rFonts w:ascii="Arial"/>
                <w:sz w:val="21"/>
              </w:rPr>
            </w:pPr>
          </w:p>
        </w:tc>
        <w:tc>
          <w:tcPr>
            <w:tcW w:w="2318" w:type="dxa"/>
            <w:vAlign w:val="top"/>
          </w:tcPr>
          <w:p w14:paraId="3147B653">
            <w:pPr>
              <w:pStyle w:val="6"/>
              <w:spacing w:before="187" w:line="183" w:lineRule="auto"/>
              <w:ind w:left="1035"/>
              <w:rPr>
                <w:sz w:val="24"/>
                <w:szCs w:val="24"/>
              </w:rPr>
            </w:pPr>
            <w:r>
              <w:rPr>
                <w:spacing w:val="-1"/>
                <w:sz w:val="24"/>
                <w:szCs w:val="24"/>
              </w:rPr>
              <w:t>B8</w:t>
            </w:r>
          </w:p>
        </w:tc>
        <w:tc>
          <w:tcPr>
            <w:tcW w:w="2338" w:type="dxa"/>
            <w:vAlign w:val="top"/>
          </w:tcPr>
          <w:p w14:paraId="46157F7B">
            <w:pPr>
              <w:pStyle w:val="6"/>
              <w:spacing w:before="171" w:line="239" w:lineRule="auto"/>
              <w:ind w:left="487"/>
              <w:rPr>
                <w:sz w:val="18"/>
                <w:szCs w:val="18"/>
              </w:rPr>
            </w:pPr>
            <w:r>
              <w:rPr>
                <w:spacing w:val="5"/>
                <w:sz w:val="18"/>
                <w:szCs w:val="18"/>
              </w:rPr>
              <w:t>110°15'47.48”</w:t>
            </w:r>
          </w:p>
        </w:tc>
        <w:tc>
          <w:tcPr>
            <w:tcW w:w="2324" w:type="dxa"/>
            <w:vAlign w:val="top"/>
          </w:tcPr>
          <w:p w14:paraId="75A6C197">
            <w:pPr>
              <w:pStyle w:val="6"/>
              <w:spacing w:before="171" w:line="239" w:lineRule="auto"/>
              <w:ind w:left="529"/>
              <w:rPr>
                <w:sz w:val="18"/>
                <w:szCs w:val="18"/>
              </w:rPr>
            </w:pPr>
            <w:r>
              <w:rPr>
                <w:spacing w:val="6"/>
                <w:sz w:val="18"/>
                <w:szCs w:val="18"/>
              </w:rPr>
              <w:t>40°44'03.27”</w:t>
            </w:r>
          </w:p>
        </w:tc>
      </w:tr>
      <w:tr w14:paraId="4619E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313" w:type="dxa"/>
            <w:vAlign w:val="top"/>
          </w:tcPr>
          <w:p w14:paraId="20CD662B">
            <w:pPr>
              <w:rPr>
                <w:rFonts w:ascii="Arial"/>
                <w:sz w:val="21"/>
              </w:rPr>
            </w:pPr>
          </w:p>
        </w:tc>
        <w:tc>
          <w:tcPr>
            <w:tcW w:w="2339" w:type="dxa"/>
            <w:vAlign w:val="top"/>
          </w:tcPr>
          <w:p w14:paraId="4A3DB53A">
            <w:pPr>
              <w:rPr>
                <w:rFonts w:ascii="Arial"/>
                <w:sz w:val="21"/>
              </w:rPr>
            </w:pPr>
          </w:p>
        </w:tc>
        <w:tc>
          <w:tcPr>
            <w:tcW w:w="2328" w:type="dxa"/>
            <w:vAlign w:val="top"/>
          </w:tcPr>
          <w:p w14:paraId="48D00F74">
            <w:pPr>
              <w:rPr>
                <w:rFonts w:ascii="Arial"/>
                <w:sz w:val="21"/>
              </w:rPr>
            </w:pPr>
          </w:p>
        </w:tc>
        <w:tc>
          <w:tcPr>
            <w:tcW w:w="2318" w:type="dxa"/>
            <w:vAlign w:val="top"/>
          </w:tcPr>
          <w:p w14:paraId="7AF08476">
            <w:pPr>
              <w:pStyle w:val="6"/>
              <w:spacing w:before="178" w:line="183" w:lineRule="auto"/>
              <w:ind w:left="1035"/>
              <w:rPr>
                <w:sz w:val="24"/>
                <w:szCs w:val="24"/>
              </w:rPr>
            </w:pPr>
            <w:r>
              <w:rPr>
                <w:spacing w:val="-1"/>
                <w:sz w:val="24"/>
                <w:szCs w:val="24"/>
              </w:rPr>
              <w:t>B9</w:t>
            </w:r>
          </w:p>
        </w:tc>
        <w:tc>
          <w:tcPr>
            <w:tcW w:w="2338" w:type="dxa"/>
            <w:vAlign w:val="top"/>
          </w:tcPr>
          <w:p w14:paraId="4E8DDE18">
            <w:pPr>
              <w:pStyle w:val="6"/>
              <w:spacing w:before="162" w:line="239" w:lineRule="auto"/>
              <w:ind w:left="487"/>
              <w:rPr>
                <w:sz w:val="18"/>
                <w:szCs w:val="18"/>
              </w:rPr>
            </w:pPr>
            <w:r>
              <w:rPr>
                <w:spacing w:val="5"/>
                <w:sz w:val="18"/>
                <w:szCs w:val="18"/>
              </w:rPr>
              <w:t>110°15'43.09”</w:t>
            </w:r>
          </w:p>
        </w:tc>
        <w:tc>
          <w:tcPr>
            <w:tcW w:w="2324" w:type="dxa"/>
            <w:vAlign w:val="top"/>
          </w:tcPr>
          <w:p w14:paraId="34F87671">
            <w:pPr>
              <w:pStyle w:val="6"/>
              <w:spacing w:before="162" w:line="239" w:lineRule="auto"/>
              <w:ind w:left="529"/>
              <w:rPr>
                <w:sz w:val="18"/>
                <w:szCs w:val="18"/>
              </w:rPr>
            </w:pPr>
            <w:r>
              <w:rPr>
                <w:spacing w:val="6"/>
                <w:sz w:val="18"/>
                <w:szCs w:val="18"/>
              </w:rPr>
              <w:t>40°43'48.76”</w:t>
            </w:r>
          </w:p>
        </w:tc>
      </w:tr>
      <w:tr w14:paraId="406B6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313" w:type="dxa"/>
            <w:vAlign w:val="top"/>
          </w:tcPr>
          <w:p w14:paraId="6434013D">
            <w:pPr>
              <w:rPr>
                <w:rFonts w:ascii="Arial"/>
                <w:sz w:val="21"/>
              </w:rPr>
            </w:pPr>
          </w:p>
        </w:tc>
        <w:tc>
          <w:tcPr>
            <w:tcW w:w="2339" w:type="dxa"/>
            <w:vAlign w:val="top"/>
          </w:tcPr>
          <w:p w14:paraId="43C44712">
            <w:pPr>
              <w:rPr>
                <w:rFonts w:ascii="Arial"/>
                <w:sz w:val="21"/>
              </w:rPr>
            </w:pPr>
          </w:p>
        </w:tc>
        <w:tc>
          <w:tcPr>
            <w:tcW w:w="2328" w:type="dxa"/>
            <w:vAlign w:val="top"/>
          </w:tcPr>
          <w:p w14:paraId="45ED0DAC">
            <w:pPr>
              <w:rPr>
                <w:rFonts w:ascii="Arial"/>
                <w:sz w:val="21"/>
              </w:rPr>
            </w:pPr>
          </w:p>
        </w:tc>
        <w:tc>
          <w:tcPr>
            <w:tcW w:w="2318" w:type="dxa"/>
            <w:vAlign w:val="top"/>
          </w:tcPr>
          <w:p w14:paraId="1290DD3E">
            <w:pPr>
              <w:pStyle w:val="6"/>
              <w:spacing w:before="187" w:line="184" w:lineRule="auto"/>
              <w:ind w:left="975"/>
              <w:rPr>
                <w:sz w:val="24"/>
                <w:szCs w:val="24"/>
              </w:rPr>
            </w:pPr>
            <w:r>
              <w:rPr>
                <w:spacing w:val="-1"/>
                <w:sz w:val="24"/>
                <w:szCs w:val="24"/>
              </w:rPr>
              <w:t>B10</w:t>
            </w:r>
          </w:p>
        </w:tc>
        <w:tc>
          <w:tcPr>
            <w:tcW w:w="2338" w:type="dxa"/>
            <w:vAlign w:val="top"/>
          </w:tcPr>
          <w:p w14:paraId="6E88B897">
            <w:pPr>
              <w:pStyle w:val="6"/>
              <w:spacing w:before="172" w:line="239" w:lineRule="auto"/>
              <w:ind w:left="487"/>
              <w:rPr>
                <w:sz w:val="18"/>
                <w:szCs w:val="18"/>
              </w:rPr>
            </w:pPr>
            <w:r>
              <w:rPr>
                <w:spacing w:val="5"/>
                <w:sz w:val="18"/>
                <w:szCs w:val="18"/>
              </w:rPr>
              <w:t>110°15'28.83”</w:t>
            </w:r>
          </w:p>
        </w:tc>
        <w:tc>
          <w:tcPr>
            <w:tcW w:w="2324" w:type="dxa"/>
            <w:vAlign w:val="top"/>
          </w:tcPr>
          <w:p w14:paraId="4E93608A">
            <w:pPr>
              <w:pStyle w:val="6"/>
              <w:spacing w:before="172" w:line="239" w:lineRule="auto"/>
              <w:ind w:left="529"/>
              <w:rPr>
                <w:sz w:val="18"/>
                <w:szCs w:val="18"/>
              </w:rPr>
            </w:pPr>
            <w:r>
              <w:rPr>
                <w:spacing w:val="6"/>
                <w:sz w:val="18"/>
                <w:szCs w:val="18"/>
              </w:rPr>
              <w:t>40°43'42.79”</w:t>
            </w:r>
          </w:p>
        </w:tc>
      </w:tr>
      <w:tr w14:paraId="056A0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313" w:type="dxa"/>
            <w:vAlign w:val="top"/>
          </w:tcPr>
          <w:p w14:paraId="12937E1A">
            <w:pPr>
              <w:rPr>
                <w:rFonts w:ascii="Arial"/>
                <w:sz w:val="21"/>
              </w:rPr>
            </w:pPr>
          </w:p>
        </w:tc>
        <w:tc>
          <w:tcPr>
            <w:tcW w:w="2339" w:type="dxa"/>
            <w:vAlign w:val="top"/>
          </w:tcPr>
          <w:p w14:paraId="50B027E7">
            <w:pPr>
              <w:rPr>
                <w:rFonts w:ascii="Arial"/>
                <w:sz w:val="21"/>
              </w:rPr>
            </w:pPr>
          </w:p>
        </w:tc>
        <w:tc>
          <w:tcPr>
            <w:tcW w:w="2328" w:type="dxa"/>
            <w:vAlign w:val="top"/>
          </w:tcPr>
          <w:p w14:paraId="4584EA0B">
            <w:pPr>
              <w:rPr>
                <w:rFonts w:ascii="Arial"/>
                <w:sz w:val="21"/>
              </w:rPr>
            </w:pPr>
          </w:p>
        </w:tc>
        <w:tc>
          <w:tcPr>
            <w:tcW w:w="2318" w:type="dxa"/>
            <w:vAlign w:val="top"/>
          </w:tcPr>
          <w:p w14:paraId="1F099FC8">
            <w:pPr>
              <w:pStyle w:val="6"/>
              <w:spacing w:before="187" w:line="184" w:lineRule="auto"/>
              <w:ind w:left="975"/>
              <w:rPr>
                <w:sz w:val="24"/>
                <w:szCs w:val="24"/>
              </w:rPr>
            </w:pPr>
            <w:r>
              <w:rPr>
                <w:spacing w:val="-1"/>
                <w:sz w:val="24"/>
                <w:szCs w:val="24"/>
              </w:rPr>
              <w:t>B11</w:t>
            </w:r>
          </w:p>
        </w:tc>
        <w:tc>
          <w:tcPr>
            <w:tcW w:w="2338" w:type="dxa"/>
            <w:vAlign w:val="top"/>
          </w:tcPr>
          <w:p w14:paraId="1621D47A">
            <w:pPr>
              <w:pStyle w:val="6"/>
              <w:spacing w:before="172" w:line="239" w:lineRule="auto"/>
              <w:ind w:left="537"/>
              <w:rPr>
                <w:sz w:val="18"/>
                <w:szCs w:val="18"/>
              </w:rPr>
            </w:pPr>
            <w:r>
              <w:rPr>
                <w:spacing w:val="-2"/>
                <w:sz w:val="18"/>
                <w:szCs w:val="18"/>
              </w:rPr>
              <w:t>110°15'34.66"</w:t>
            </w:r>
          </w:p>
        </w:tc>
        <w:tc>
          <w:tcPr>
            <w:tcW w:w="2324" w:type="dxa"/>
            <w:vAlign w:val="top"/>
          </w:tcPr>
          <w:p w14:paraId="59AC5A51">
            <w:pPr>
              <w:pStyle w:val="6"/>
              <w:spacing w:before="172" w:line="239" w:lineRule="auto"/>
              <w:ind w:left="529"/>
              <w:rPr>
                <w:sz w:val="18"/>
                <w:szCs w:val="18"/>
              </w:rPr>
            </w:pPr>
            <w:r>
              <w:rPr>
                <w:spacing w:val="6"/>
                <w:sz w:val="18"/>
                <w:szCs w:val="18"/>
              </w:rPr>
              <w:t>40°43'30.26”</w:t>
            </w:r>
          </w:p>
        </w:tc>
      </w:tr>
      <w:tr w14:paraId="31F40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313" w:type="dxa"/>
            <w:vAlign w:val="top"/>
          </w:tcPr>
          <w:p w14:paraId="514FC2BD">
            <w:pPr>
              <w:rPr>
                <w:rFonts w:ascii="Arial"/>
                <w:sz w:val="21"/>
              </w:rPr>
            </w:pPr>
          </w:p>
        </w:tc>
        <w:tc>
          <w:tcPr>
            <w:tcW w:w="2339" w:type="dxa"/>
            <w:vAlign w:val="top"/>
          </w:tcPr>
          <w:p w14:paraId="7D6BC5B8">
            <w:pPr>
              <w:rPr>
                <w:rFonts w:ascii="Arial"/>
                <w:sz w:val="21"/>
              </w:rPr>
            </w:pPr>
          </w:p>
        </w:tc>
        <w:tc>
          <w:tcPr>
            <w:tcW w:w="2328" w:type="dxa"/>
            <w:vAlign w:val="top"/>
          </w:tcPr>
          <w:p w14:paraId="7F255389">
            <w:pPr>
              <w:rPr>
                <w:rFonts w:ascii="Arial"/>
                <w:sz w:val="21"/>
              </w:rPr>
            </w:pPr>
          </w:p>
        </w:tc>
        <w:tc>
          <w:tcPr>
            <w:tcW w:w="2318" w:type="dxa"/>
            <w:vAlign w:val="top"/>
          </w:tcPr>
          <w:p w14:paraId="00DB71F2">
            <w:pPr>
              <w:pStyle w:val="6"/>
              <w:spacing w:before="188" w:line="184" w:lineRule="auto"/>
              <w:ind w:left="975"/>
              <w:rPr>
                <w:sz w:val="24"/>
                <w:szCs w:val="24"/>
              </w:rPr>
            </w:pPr>
            <w:r>
              <w:rPr>
                <w:spacing w:val="-1"/>
                <w:sz w:val="24"/>
                <w:szCs w:val="24"/>
              </w:rPr>
              <w:t>B12</w:t>
            </w:r>
          </w:p>
        </w:tc>
        <w:tc>
          <w:tcPr>
            <w:tcW w:w="2338" w:type="dxa"/>
            <w:vAlign w:val="top"/>
          </w:tcPr>
          <w:p w14:paraId="0DF3298A">
            <w:pPr>
              <w:pStyle w:val="6"/>
              <w:spacing w:before="173" w:line="239" w:lineRule="auto"/>
              <w:ind w:left="487"/>
              <w:rPr>
                <w:sz w:val="18"/>
                <w:szCs w:val="18"/>
              </w:rPr>
            </w:pPr>
            <w:r>
              <w:rPr>
                <w:spacing w:val="5"/>
                <w:sz w:val="18"/>
                <w:szCs w:val="18"/>
              </w:rPr>
              <w:t>110°15'41.67”</w:t>
            </w:r>
          </w:p>
        </w:tc>
        <w:tc>
          <w:tcPr>
            <w:tcW w:w="2324" w:type="dxa"/>
            <w:vAlign w:val="top"/>
          </w:tcPr>
          <w:p w14:paraId="595DACC9">
            <w:pPr>
              <w:pStyle w:val="6"/>
              <w:spacing w:before="173" w:line="239" w:lineRule="auto"/>
              <w:ind w:left="529"/>
              <w:rPr>
                <w:sz w:val="18"/>
                <w:szCs w:val="18"/>
              </w:rPr>
            </w:pPr>
            <w:r>
              <w:rPr>
                <w:spacing w:val="6"/>
                <w:sz w:val="18"/>
                <w:szCs w:val="18"/>
              </w:rPr>
              <w:t>40°43'31.56”</w:t>
            </w:r>
          </w:p>
        </w:tc>
      </w:tr>
      <w:tr w14:paraId="7F318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313" w:type="dxa"/>
            <w:vAlign w:val="top"/>
          </w:tcPr>
          <w:p w14:paraId="3F603B50">
            <w:pPr>
              <w:rPr>
                <w:rFonts w:ascii="Arial"/>
                <w:sz w:val="21"/>
              </w:rPr>
            </w:pPr>
          </w:p>
        </w:tc>
        <w:tc>
          <w:tcPr>
            <w:tcW w:w="2339" w:type="dxa"/>
            <w:vAlign w:val="top"/>
          </w:tcPr>
          <w:p w14:paraId="230FB3C9">
            <w:pPr>
              <w:rPr>
                <w:rFonts w:ascii="Arial"/>
                <w:sz w:val="21"/>
              </w:rPr>
            </w:pPr>
          </w:p>
        </w:tc>
        <w:tc>
          <w:tcPr>
            <w:tcW w:w="2328" w:type="dxa"/>
            <w:vAlign w:val="top"/>
          </w:tcPr>
          <w:p w14:paraId="3FB00D45">
            <w:pPr>
              <w:rPr>
                <w:rFonts w:ascii="Arial"/>
                <w:sz w:val="21"/>
              </w:rPr>
            </w:pPr>
          </w:p>
        </w:tc>
        <w:tc>
          <w:tcPr>
            <w:tcW w:w="2318" w:type="dxa"/>
            <w:vAlign w:val="top"/>
          </w:tcPr>
          <w:p w14:paraId="639B00B6">
            <w:pPr>
              <w:pStyle w:val="6"/>
              <w:spacing w:before="189" w:line="184" w:lineRule="auto"/>
              <w:ind w:left="975"/>
              <w:rPr>
                <w:sz w:val="24"/>
                <w:szCs w:val="24"/>
              </w:rPr>
            </w:pPr>
            <w:r>
              <w:rPr>
                <w:spacing w:val="-1"/>
                <w:sz w:val="24"/>
                <w:szCs w:val="24"/>
              </w:rPr>
              <w:t>B13</w:t>
            </w:r>
          </w:p>
        </w:tc>
        <w:tc>
          <w:tcPr>
            <w:tcW w:w="2338" w:type="dxa"/>
            <w:vAlign w:val="top"/>
          </w:tcPr>
          <w:p w14:paraId="4D16DE96">
            <w:pPr>
              <w:pStyle w:val="6"/>
              <w:spacing w:before="174" w:line="239" w:lineRule="auto"/>
              <w:ind w:left="487"/>
              <w:rPr>
                <w:sz w:val="18"/>
                <w:szCs w:val="18"/>
              </w:rPr>
            </w:pPr>
            <w:r>
              <w:rPr>
                <w:spacing w:val="5"/>
                <w:sz w:val="18"/>
                <w:szCs w:val="18"/>
              </w:rPr>
              <w:t>110°15'50.53”</w:t>
            </w:r>
          </w:p>
        </w:tc>
        <w:tc>
          <w:tcPr>
            <w:tcW w:w="2324" w:type="dxa"/>
            <w:vAlign w:val="top"/>
          </w:tcPr>
          <w:p w14:paraId="791C6087">
            <w:pPr>
              <w:pStyle w:val="6"/>
              <w:spacing w:before="174" w:line="239" w:lineRule="auto"/>
              <w:ind w:left="569"/>
              <w:rPr>
                <w:sz w:val="18"/>
                <w:szCs w:val="18"/>
              </w:rPr>
            </w:pPr>
            <w:r>
              <w:rPr>
                <w:spacing w:val="-1"/>
                <w:sz w:val="18"/>
                <w:szCs w:val="18"/>
              </w:rPr>
              <w:t>40°42'43.00"</w:t>
            </w:r>
          </w:p>
        </w:tc>
      </w:tr>
      <w:tr w14:paraId="3EEDD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313" w:type="dxa"/>
            <w:vAlign w:val="top"/>
          </w:tcPr>
          <w:p w14:paraId="68410654">
            <w:pPr>
              <w:rPr>
                <w:rFonts w:ascii="Arial"/>
                <w:sz w:val="21"/>
              </w:rPr>
            </w:pPr>
          </w:p>
        </w:tc>
        <w:tc>
          <w:tcPr>
            <w:tcW w:w="2339" w:type="dxa"/>
            <w:vAlign w:val="top"/>
          </w:tcPr>
          <w:p w14:paraId="5124BE89">
            <w:pPr>
              <w:rPr>
                <w:rFonts w:ascii="Arial"/>
                <w:sz w:val="21"/>
              </w:rPr>
            </w:pPr>
          </w:p>
        </w:tc>
        <w:tc>
          <w:tcPr>
            <w:tcW w:w="2328" w:type="dxa"/>
            <w:vAlign w:val="top"/>
          </w:tcPr>
          <w:p w14:paraId="50513325">
            <w:pPr>
              <w:rPr>
                <w:rFonts w:ascii="Arial"/>
                <w:sz w:val="21"/>
              </w:rPr>
            </w:pPr>
          </w:p>
        </w:tc>
        <w:tc>
          <w:tcPr>
            <w:tcW w:w="2318" w:type="dxa"/>
            <w:vAlign w:val="top"/>
          </w:tcPr>
          <w:p w14:paraId="56011E4E">
            <w:pPr>
              <w:pStyle w:val="6"/>
              <w:spacing w:before="153" w:line="241" w:lineRule="auto"/>
              <w:ind w:left="975"/>
              <w:rPr>
                <w:sz w:val="24"/>
                <w:szCs w:val="24"/>
              </w:rPr>
            </w:pPr>
            <w:r>
              <w:rPr>
                <w:spacing w:val="-2"/>
                <w:sz w:val="24"/>
                <w:szCs w:val="24"/>
              </w:rPr>
              <w:t>B1</w:t>
            </w:r>
            <w:r>
              <w:rPr>
                <w:color w:val="405050"/>
                <w:spacing w:val="-2"/>
                <w:sz w:val="24"/>
                <w:szCs w:val="24"/>
              </w:rPr>
              <w:t>4</w:t>
            </w:r>
          </w:p>
        </w:tc>
        <w:tc>
          <w:tcPr>
            <w:tcW w:w="2338" w:type="dxa"/>
            <w:vAlign w:val="top"/>
          </w:tcPr>
          <w:p w14:paraId="15CE7E2B">
            <w:pPr>
              <w:pStyle w:val="6"/>
              <w:spacing w:before="175" w:line="239" w:lineRule="auto"/>
              <w:ind w:left="537"/>
              <w:rPr>
                <w:sz w:val="18"/>
                <w:szCs w:val="18"/>
              </w:rPr>
            </w:pPr>
            <w:r>
              <w:rPr>
                <w:spacing w:val="-2"/>
                <w:sz w:val="18"/>
                <w:szCs w:val="18"/>
              </w:rPr>
              <w:t>110°15'56.31"</w:t>
            </w:r>
          </w:p>
        </w:tc>
        <w:tc>
          <w:tcPr>
            <w:tcW w:w="2324" w:type="dxa"/>
            <w:vAlign w:val="top"/>
          </w:tcPr>
          <w:p w14:paraId="778A02E9">
            <w:pPr>
              <w:pStyle w:val="6"/>
              <w:spacing w:before="175" w:line="239" w:lineRule="auto"/>
              <w:ind w:left="619"/>
              <w:rPr>
                <w:sz w:val="18"/>
                <w:szCs w:val="18"/>
              </w:rPr>
            </w:pPr>
            <w:r>
              <w:rPr>
                <w:spacing w:val="-1"/>
                <w:sz w:val="18"/>
                <w:szCs w:val="18"/>
              </w:rPr>
              <w:t>40°42'27.49</w:t>
            </w:r>
          </w:p>
        </w:tc>
      </w:tr>
    </w:tbl>
    <w:p w14:paraId="3BBF169E">
      <w:pPr>
        <w:rPr>
          <w:rFonts w:ascii="Arial"/>
          <w:sz w:val="21"/>
        </w:rPr>
      </w:pPr>
    </w:p>
    <w:p w14:paraId="79DB1042">
      <w:pPr>
        <w:rPr>
          <w:rFonts w:ascii="Arial" w:hAnsi="Arial" w:eastAsia="Arial" w:cs="Arial"/>
          <w:sz w:val="21"/>
          <w:szCs w:val="21"/>
        </w:rPr>
        <w:sectPr>
          <w:footerReference r:id="rId60" w:type="default"/>
          <w:pgSz w:w="16850" w:h="11910"/>
          <w:pgMar w:top="1012" w:right="1464" w:bottom="1447" w:left="1414" w:header="0" w:footer="1243" w:gutter="0"/>
          <w:cols w:space="720" w:num="1"/>
        </w:sectPr>
      </w:pPr>
    </w:p>
    <w:p w14:paraId="6C1EB941">
      <w:pPr>
        <w:spacing w:before="266" w:line="219" w:lineRule="auto"/>
        <w:ind w:left="64"/>
        <w:rPr>
          <w:rFonts w:ascii="宋体" w:hAnsi="宋体" w:eastAsia="宋体" w:cs="宋体"/>
          <w:sz w:val="31"/>
          <w:szCs w:val="31"/>
        </w:rPr>
      </w:pPr>
      <w:r>
        <w:rPr>
          <w:rFonts w:ascii="宋体" w:hAnsi="宋体" w:eastAsia="宋体" w:cs="宋体"/>
          <w:spacing w:val="-11"/>
          <w:sz w:val="31"/>
          <w:szCs w:val="31"/>
        </w:rPr>
        <w:t>2、</w:t>
      </w:r>
      <w:r>
        <w:rPr>
          <w:rFonts w:ascii="宋体" w:hAnsi="宋体" w:eastAsia="宋体" w:cs="宋体"/>
          <w:b/>
          <w:bCs/>
          <w:spacing w:val="-11"/>
          <w:sz w:val="31"/>
          <w:szCs w:val="31"/>
        </w:rPr>
        <w:t>基础环境特征调查</w:t>
      </w:r>
    </w:p>
    <w:p w14:paraId="5AFB1219">
      <w:pPr>
        <w:spacing w:before="271" w:line="219" w:lineRule="auto"/>
        <w:ind w:left="64"/>
        <w:rPr>
          <w:rFonts w:ascii="宋体" w:hAnsi="宋体" w:eastAsia="宋体" w:cs="宋体"/>
          <w:sz w:val="27"/>
          <w:szCs w:val="27"/>
        </w:rPr>
      </w:pPr>
      <w:r>
        <w:rPr>
          <w:rFonts w:ascii="宋体" w:hAnsi="宋体" w:eastAsia="宋体" w:cs="宋体"/>
          <w:spacing w:val="7"/>
          <w:sz w:val="27"/>
          <w:szCs w:val="27"/>
        </w:rPr>
        <w:t>2.1</w:t>
      </w:r>
      <w:r>
        <w:rPr>
          <w:rFonts w:ascii="宋体" w:hAnsi="宋体" w:eastAsia="宋体" w:cs="宋体"/>
          <w:spacing w:val="-21"/>
          <w:sz w:val="27"/>
          <w:szCs w:val="27"/>
        </w:rPr>
        <w:t xml:space="preserve"> </w:t>
      </w:r>
      <w:r>
        <w:rPr>
          <w:rFonts w:ascii="宋体" w:hAnsi="宋体" w:eastAsia="宋体" w:cs="宋体"/>
          <w:b/>
          <w:bCs/>
          <w:spacing w:val="7"/>
          <w:sz w:val="27"/>
          <w:szCs w:val="27"/>
        </w:rPr>
        <w:t>一般性调查内容</w:t>
      </w:r>
    </w:p>
    <w:p w14:paraId="51F35A62">
      <w:pPr>
        <w:spacing w:before="261" w:line="353" w:lineRule="auto"/>
        <w:ind w:left="64" w:right="145" w:firstLine="479"/>
        <w:rPr>
          <w:rFonts w:ascii="宋体" w:hAnsi="宋体" w:eastAsia="宋体" w:cs="宋体"/>
          <w:sz w:val="24"/>
          <w:szCs w:val="24"/>
        </w:rPr>
      </w:pPr>
      <w:r>
        <w:rPr>
          <w:rFonts w:ascii="宋体" w:hAnsi="宋体" w:eastAsia="宋体" w:cs="宋体"/>
          <w:spacing w:val="2"/>
          <w:sz w:val="24"/>
          <w:szCs w:val="24"/>
        </w:rPr>
        <w:t>根据《包头市石拐区集中式饮用水水源保护区调整技术报告》,调整后的水</w:t>
      </w:r>
      <w:r>
        <w:rPr>
          <w:rFonts w:ascii="宋体" w:hAnsi="宋体" w:eastAsia="宋体" w:cs="宋体"/>
          <w:spacing w:val="4"/>
          <w:sz w:val="24"/>
          <w:szCs w:val="24"/>
        </w:rPr>
        <w:t xml:space="preserve"> </w:t>
      </w:r>
      <w:r>
        <w:rPr>
          <w:rFonts w:ascii="宋体" w:hAnsi="宋体" w:eastAsia="宋体" w:cs="宋体"/>
          <w:spacing w:val="2"/>
          <w:sz w:val="24"/>
          <w:szCs w:val="24"/>
        </w:rPr>
        <w:t>源地一级保护区范围为长度为1#井取水口上游1000</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40"/>
          <w:sz w:val="24"/>
          <w:szCs w:val="24"/>
        </w:rPr>
        <w:t xml:space="preserve"> </w:t>
      </w:r>
      <w:r>
        <w:rPr>
          <w:rFonts w:ascii="宋体" w:hAnsi="宋体" w:eastAsia="宋体" w:cs="宋体"/>
          <w:spacing w:val="2"/>
          <w:sz w:val="24"/>
          <w:szCs w:val="24"/>
        </w:rPr>
        <w:t>下游100</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49"/>
          <w:sz w:val="24"/>
          <w:szCs w:val="24"/>
        </w:rPr>
        <w:t xml:space="preserve"> </w:t>
      </w:r>
      <w:r>
        <w:rPr>
          <w:rFonts w:ascii="宋体" w:hAnsi="宋体" w:eastAsia="宋体" w:cs="宋体"/>
          <w:spacing w:val="2"/>
          <w:sz w:val="24"/>
          <w:szCs w:val="24"/>
        </w:rPr>
        <w:t>宽度为沿岸纵</w:t>
      </w:r>
      <w:r>
        <w:rPr>
          <w:rFonts w:ascii="宋体" w:hAnsi="宋体" w:eastAsia="宋体" w:cs="宋体"/>
          <w:sz w:val="24"/>
          <w:szCs w:val="24"/>
        </w:rPr>
        <w:t xml:space="preserve"> </w:t>
      </w:r>
      <w:r>
        <w:rPr>
          <w:rFonts w:ascii="宋体" w:hAnsi="宋体" w:eastAsia="宋体" w:cs="宋体"/>
          <w:spacing w:val="7"/>
          <w:sz w:val="24"/>
          <w:szCs w:val="24"/>
        </w:rPr>
        <w:t>深(宽度)至一级保护区水域边界外50</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30"/>
          <w:w w:val="101"/>
          <w:sz w:val="24"/>
          <w:szCs w:val="24"/>
        </w:rPr>
        <w:t xml:space="preserve">  </w:t>
      </w:r>
      <w:r>
        <w:rPr>
          <w:rFonts w:ascii="宋体" w:hAnsi="宋体" w:eastAsia="宋体" w:cs="宋体"/>
          <w:spacing w:val="7"/>
          <w:sz w:val="24"/>
          <w:szCs w:val="24"/>
        </w:rPr>
        <w:t>其中东北侧以沙明线为界；西北侧以</w:t>
      </w:r>
      <w:r>
        <w:rPr>
          <w:rFonts w:ascii="宋体" w:hAnsi="宋体" w:eastAsia="宋体" w:cs="宋体"/>
          <w:sz w:val="24"/>
          <w:szCs w:val="24"/>
        </w:rPr>
        <w:t xml:space="preserve"> 乡村道路为界；西南侧水域边界外50</w:t>
      </w:r>
      <w:r>
        <w:rPr>
          <w:rFonts w:ascii="Times New Roman" w:hAnsi="Times New Roman" w:eastAsia="Times New Roman" w:cs="Times New Roman"/>
          <w:sz w:val="24"/>
          <w:szCs w:val="24"/>
        </w:rPr>
        <w:t>m</w:t>
      </w:r>
      <w:r>
        <w:rPr>
          <w:rFonts w:ascii="Times New Roman" w:hAnsi="Times New Roman" w:eastAsia="Times New Roman" w:cs="Times New Roman"/>
          <w:spacing w:val="56"/>
          <w:sz w:val="24"/>
          <w:szCs w:val="24"/>
        </w:rPr>
        <w:t xml:space="preserve"> </w:t>
      </w:r>
      <w:r>
        <w:rPr>
          <w:rFonts w:ascii="宋体" w:hAnsi="宋体" w:eastAsia="宋体" w:cs="宋体"/>
          <w:sz w:val="24"/>
          <w:szCs w:val="24"/>
        </w:rPr>
        <w:t>与以开采井为中心，半径为57</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m  </w:t>
      </w:r>
      <w:r>
        <w:rPr>
          <w:rFonts w:ascii="宋体" w:hAnsi="宋体" w:eastAsia="宋体" w:cs="宋体"/>
          <w:spacing w:val="-1"/>
          <w:sz w:val="24"/>
          <w:szCs w:val="24"/>
        </w:rPr>
        <w:t>的圆弧</w:t>
      </w:r>
      <w:r>
        <w:rPr>
          <w:rFonts w:ascii="宋体" w:hAnsi="宋体" w:eastAsia="宋体" w:cs="宋体"/>
          <w:sz w:val="24"/>
          <w:szCs w:val="24"/>
        </w:rPr>
        <w:t xml:space="preserve"> </w:t>
      </w:r>
      <w:r>
        <w:rPr>
          <w:rFonts w:ascii="宋体" w:hAnsi="宋体" w:eastAsia="宋体" w:cs="宋体"/>
          <w:spacing w:val="1"/>
          <w:sz w:val="24"/>
          <w:szCs w:val="24"/>
        </w:rPr>
        <w:t>相接。二级保护区范围为长度为从一级保护区的上游边界向上游延伸2000</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55"/>
          <w:sz w:val="24"/>
          <w:szCs w:val="24"/>
        </w:rPr>
        <w:t xml:space="preserve"> </w:t>
      </w:r>
      <w:r>
        <w:rPr>
          <w:rFonts w:ascii="宋体" w:hAnsi="宋体" w:eastAsia="宋体" w:cs="宋体"/>
          <w:spacing w:val="1"/>
          <w:sz w:val="24"/>
          <w:szCs w:val="24"/>
        </w:rPr>
        <w:t>至</w:t>
      </w:r>
      <w:r>
        <w:rPr>
          <w:rFonts w:ascii="宋体" w:hAnsi="宋体" w:eastAsia="宋体" w:cs="宋体"/>
          <w:sz w:val="24"/>
          <w:szCs w:val="24"/>
        </w:rPr>
        <w:t xml:space="preserve">  </w:t>
      </w:r>
      <w:r>
        <w:rPr>
          <w:rFonts w:ascii="宋体" w:hAnsi="宋体" w:eastAsia="宋体" w:cs="宋体"/>
          <w:spacing w:val="4"/>
          <w:sz w:val="24"/>
          <w:szCs w:val="24"/>
        </w:rPr>
        <w:t>一级保护区边界向下游延伸568</w:t>
      </w:r>
      <w:r>
        <w:rPr>
          <w:rFonts w:ascii="Times New Roman" w:hAnsi="Times New Roman" w:eastAsia="Times New Roman" w:cs="Times New Roman"/>
          <w:spacing w:val="4"/>
          <w:sz w:val="24"/>
          <w:szCs w:val="24"/>
        </w:rPr>
        <w:t>m</w:t>
      </w:r>
      <w:r>
        <w:rPr>
          <w:rFonts w:ascii="宋体" w:hAnsi="宋体" w:eastAsia="宋体" w:cs="宋体"/>
          <w:spacing w:val="4"/>
          <w:sz w:val="24"/>
          <w:szCs w:val="24"/>
        </w:rPr>
        <w:t>。东北端以平壕渠及以北的台地(高程大于</w:t>
      </w:r>
    </w:p>
    <w:p w14:paraId="6ACB2674">
      <w:pPr>
        <w:spacing w:line="365" w:lineRule="auto"/>
        <w:ind w:left="64" w:right="46"/>
        <w:rPr>
          <w:rFonts w:ascii="宋体" w:hAnsi="宋体" w:eastAsia="宋体" w:cs="宋体"/>
          <w:sz w:val="24"/>
          <w:szCs w:val="24"/>
        </w:rPr>
      </w:pPr>
      <w:r>
        <w:rPr>
          <w:rFonts w:ascii="宋体" w:hAnsi="宋体" w:eastAsia="宋体" w:cs="宋体"/>
          <w:spacing w:val="-1"/>
          <w:sz w:val="24"/>
          <w:szCs w:val="24"/>
        </w:rPr>
        <w:t>1266</w:t>
      </w:r>
      <w:r>
        <w:rPr>
          <w:rFonts w:ascii="Times New Roman" w:hAnsi="Times New Roman" w:eastAsia="Times New Roman" w:cs="Times New Roman"/>
          <w:spacing w:val="-1"/>
          <w:sz w:val="24"/>
          <w:szCs w:val="24"/>
        </w:rPr>
        <w:t xml:space="preserve">m)  </w:t>
      </w:r>
      <w:r>
        <w:rPr>
          <w:rFonts w:ascii="宋体" w:hAnsi="宋体" w:eastAsia="宋体" w:cs="宋体"/>
          <w:spacing w:val="-1"/>
          <w:sz w:val="24"/>
          <w:szCs w:val="24"/>
        </w:rPr>
        <w:t>为界，东南侧以沙明线为界，南端以水源地取水口为中心，半径为568</w:t>
      </w:r>
      <w:r>
        <w:rPr>
          <w:rFonts w:ascii="Times New Roman" w:hAnsi="Times New Roman" w:eastAsia="Times New Roman" w:cs="Times New Roman"/>
          <w:spacing w:val="-1"/>
          <w:sz w:val="24"/>
          <w:szCs w:val="24"/>
        </w:rPr>
        <w:t>m</w:t>
      </w:r>
      <w:r>
        <w:rPr>
          <w:rFonts w:ascii="Times New Roman" w:hAnsi="Times New Roman" w:eastAsia="Times New Roman" w:cs="Times New Roman"/>
          <w:sz w:val="24"/>
          <w:szCs w:val="24"/>
        </w:rPr>
        <w:t xml:space="preserve">   </w:t>
      </w:r>
      <w:r>
        <w:rPr>
          <w:rFonts w:ascii="宋体" w:hAnsi="宋体" w:eastAsia="宋体" w:cs="宋体"/>
          <w:color w:val="506070"/>
          <w:spacing w:val="-5"/>
          <w:sz w:val="24"/>
          <w:szCs w:val="24"/>
        </w:rPr>
        <w:t>的圆弧为界，</w:t>
      </w:r>
      <w:r>
        <w:rPr>
          <w:rFonts w:ascii="宋体" w:hAnsi="宋体" w:eastAsia="宋体" w:cs="宋体"/>
          <w:spacing w:val="-5"/>
          <w:sz w:val="24"/>
          <w:szCs w:val="24"/>
        </w:rPr>
        <w:t>西侧由北向南以青五线、乡村道路、山脊线为界，</w:t>
      </w:r>
      <w:r>
        <w:rPr>
          <w:rFonts w:ascii="宋体" w:hAnsi="宋体" w:eastAsia="宋体" w:cs="宋体"/>
          <w:color w:val="506070"/>
          <w:spacing w:val="-5"/>
          <w:sz w:val="24"/>
          <w:szCs w:val="24"/>
        </w:rPr>
        <w:t>南端与圆弧相交。</w:t>
      </w:r>
      <w:r>
        <w:rPr>
          <w:rFonts w:ascii="宋体" w:hAnsi="宋体" w:eastAsia="宋体" w:cs="宋体"/>
          <w:color w:val="506070"/>
          <w:sz w:val="24"/>
          <w:szCs w:val="24"/>
        </w:rPr>
        <w:t xml:space="preserve"> </w:t>
      </w:r>
      <w:r>
        <w:rPr>
          <w:rFonts w:ascii="宋体" w:hAnsi="宋体" w:eastAsia="宋体" w:cs="宋体"/>
          <w:spacing w:val="1"/>
          <w:sz w:val="24"/>
          <w:szCs w:val="24"/>
        </w:rPr>
        <w:t>包头市石拐区水源地取水井基本情况见表2-1。包头市石拐区水</w:t>
      </w:r>
      <w:r>
        <w:rPr>
          <w:rFonts w:ascii="宋体" w:hAnsi="宋体" w:eastAsia="宋体" w:cs="宋体"/>
          <w:sz w:val="24"/>
          <w:szCs w:val="24"/>
        </w:rPr>
        <w:t xml:space="preserve">源保护区主要界  </w:t>
      </w:r>
      <w:r>
        <w:rPr>
          <w:rFonts w:ascii="宋体" w:hAnsi="宋体" w:eastAsia="宋体" w:cs="宋体"/>
          <w:spacing w:val="-1"/>
          <w:sz w:val="24"/>
          <w:szCs w:val="24"/>
        </w:rPr>
        <w:t>点坐标。包头市石拐区地下水水源地保护区基本情况</w:t>
      </w:r>
      <w:r>
        <w:rPr>
          <w:rFonts w:ascii="宋体" w:hAnsi="宋体" w:eastAsia="宋体" w:cs="宋体"/>
          <w:spacing w:val="-2"/>
          <w:sz w:val="24"/>
          <w:szCs w:val="24"/>
        </w:rPr>
        <w:t>见表2-3。</w:t>
      </w:r>
    </w:p>
    <w:p w14:paraId="0068AECA">
      <w:pPr>
        <w:spacing w:before="18" w:line="219" w:lineRule="auto"/>
        <w:ind w:left="64"/>
        <w:rPr>
          <w:rFonts w:ascii="宋体" w:hAnsi="宋体" w:eastAsia="宋体" w:cs="宋体"/>
          <w:sz w:val="24"/>
          <w:szCs w:val="24"/>
        </w:rPr>
      </w:pPr>
      <w:r>
        <w:rPr>
          <w:rFonts w:ascii="宋体" w:hAnsi="宋体" w:eastAsia="宋体" w:cs="宋体"/>
          <w:sz w:val="24"/>
          <w:szCs w:val="24"/>
        </w:rPr>
        <w:t>包头市石拐区水源地保护区划分图见图2-1。</w:t>
      </w:r>
    </w:p>
    <w:p w14:paraId="74F79035">
      <w:pPr>
        <w:spacing w:before="120" w:line="219" w:lineRule="auto"/>
        <w:ind w:left="2018"/>
        <w:rPr>
          <w:rFonts w:ascii="宋体" w:hAnsi="宋体" w:eastAsia="宋体" w:cs="宋体"/>
          <w:sz w:val="26"/>
          <w:szCs w:val="26"/>
        </w:rPr>
      </w:pPr>
      <w:r>
        <w:rPr>
          <w:rFonts w:ascii="宋体" w:hAnsi="宋体" w:eastAsia="宋体" w:cs="宋体"/>
          <w:b/>
          <w:bCs/>
          <w:spacing w:val="-4"/>
          <w:sz w:val="26"/>
          <w:szCs w:val="26"/>
        </w:rPr>
        <w:t>表2-1包头市石拐区水源地取水井基本情况表</w:t>
      </w:r>
    </w:p>
    <w:p w14:paraId="0F2AA715">
      <w:pPr>
        <w:spacing w:line="122" w:lineRule="exact"/>
      </w:pPr>
    </w:p>
    <w:tbl>
      <w:tblPr>
        <w:tblStyle w:val="5"/>
        <w:tblW w:w="83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3"/>
        <w:gridCol w:w="1408"/>
        <w:gridCol w:w="1708"/>
        <w:gridCol w:w="1988"/>
        <w:gridCol w:w="1932"/>
      </w:tblGrid>
      <w:tr w14:paraId="55028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273" w:type="dxa"/>
            <w:vMerge w:val="restart"/>
            <w:tcBorders>
              <w:bottom w:val="nil"/>
            </w:tcBorders>
            <w:vAlign w:val="top"/>
          </w:tcPr>
          <w:p w14:paraId="1DFADE3A">
            <w:pPr>
              <w:pStyle w:val="6"/>
              <w:spacing w:before="102" w:line="220" w:lineRule="auto"/>
              <w:ind w:left="148"/>
              <w:rPr>
                <w:sz w:val="24"/>
                <w:szCs w:val="24"/>
              </w:rPr>
            </w:pPr>
            <w:r>
              <w:rPr>
                <w:b/>
                <w:bCs/>
                <w:color w:val="606070"/>
                <w:spacing w:val="3"/>
                <w:sz w:val="24"/>
                <w:szCs w:val="24"/>
              </w:rPr>
              <w:t>行政区名</w:t>
            </w:r>
          </w:p>
          <w:p w14:paraId="7A5432DA">
            <w:pPr>
              <w:pStyle w:val="6"/>
              <w:spacing w:before="166" w:line="221" w:lineRule="auto"/>
              <w:ind w:left="508"/>
              <w:rPr>
                <w:sz w:val="24"/>
                <w:szCs w:val="24"/>
              </w:rPr>
            </w:pPr>
            <w:r>
              <w:rPr>
                <w:b/>
                <w:bCs/>
                <w:spacing w:val="-3"/>
                <w:sz w:val="24"/>
                <w:szCs w:val="24"/>
              </w:rPr>
              <w:t>称</w:t>
            </w:r>
          </w:p>
        </w:tc>
        <w:tc>
          <w:tcPr>
            <w:tcW w:w="1408" w:type="dxa"/>
            <w:vMerge w:val="restart"/>
            <w:tcBorders>
              <w:bottom w:val="nil"/>
            </w:tcBorders>
            <w:vAlign w:val="top"/>
          </w:tcPr>
          <w:p w14:paraId="49A45A35">
            <w:pPr>
              <w:pStyle w:val="6"/>
              <w:spacing w:before="81" w:line="219" w:lineRule="auto"/>
              <w:ind w:left="215"/>
              <w:rPr>
                <w:sz w:val="24"/>
                <w:szCs w:val="24"/>
              </w:rPr>
            </w:pPr>
            <w:r>
              <w:rPr>
                <w:b/>
                <w:bCs/>
                <w:color w:val="405050"/>
                <w:spacing w:val="-5"/>
                <w:sz w:val="24"/>
                <w:szCs w:val="24"/>
              </w:rPr>
              <w:t>水源地</w:t>
            </w:r>
            <w:r>
              <w:rPr>
                <w:b/>
                <w:bCs/>
                <w:spacing w:val="-5"/>
                <w:sz w:val="24"/>
                <w:szCs w:val="24"/>
              </w:rPr>
              <w:t>类</w:t>
            </w:r>
          </w:p>
          <w:p w14:paraId="5F03A073">
            <w:pPr>
              <w:pStyle w:val="6"/>
              <w:spacing w:before="215" w:line="227" w:lineRule="auto"/>
              <w:ind w:left="575"/>
              <w:rPr>
                <w:sz w:val="24"/>
                <w:szCs w:val="24"/>
              </w:rPr>
            </w:pPr>
            <w:r>
              <w:rPr>
                <w:b/>
                <w:bCs/>
                <w:spacing w:val="-3"/>
                <w:sz w:val="24"/>
                <w:szCs w:val="24"/>
              </w:rPr>
              <w:t>型</w:t>
            </w:r>
          </w:p>
        </w:tc>
        <w:tc>
          <w:tcPr>
            <w:tcW w:w="1708" w:type="dxa"/>
            <w:vMerge w:val="restart"/>
            <w:tcBorders>
              <w:bottom w:val="nil"/>
            </w:tcBorders>
            <w:vAlign w:val="top"/>
          </w:tcPr>
          <w:p w14:paraId="6EF4F27A">
            <w:pPr>
              <w:spacing w:line="271" w:lineRule="auto"/>
              <w:rPr>
                <w:rFonts w:ascii="Arial"/>
                <w:sz w:val="21"/>
              </w:rPr>
            </w:pPr>
          </w:p>
          <w:p w14:paraId="3B7102A8">
            <w:pPr>
              <w:pStyle w:val="6"/>
              <w:spacing w:before="78" w:line="219" w:lineRule="auto"/>
              <w:ind w:left="247"/>
              <w:rPr>
                <w:sz w:val="24"/>
                <w:szCs w:val="24"/>
              </w:rPr>
            </w:pPr>
            <w:r>
              <w:rPr>
                <w:b/>
                <w:bCs/>
                <w:color w:val="505060"/>
                <w:spacing w:val="-4"/>
                <w:sz w:val="24"/>
                <w:szCs w:val="24"/>
              </w:rPr>
              <w:t>取水</w:t>
            </w:r>
            <w:r>
              <w:rPr>
                <w:b/>
                <w:bCs/>
                <w:color w:val="606060"/>
                <w:spacing w:val="-4"/>
                <w:sz w:val="24"/>
                <w:szCs w:val="24"/>
              </w:rPr>
              <w:t>口</w:t>
            </w:r>
            <w:r>
              <w:rPr>
                <w:b/>
                <w:bCs/>
                <w:color w:val="404040"/>
                <w:spacing w:val="-4"/>
                <w:sz w:val="24"/>
                <w:szCs w:val="24"/>
              </w:rPr>
              <w:t>编号</w:t>
            </w:r>
          </w:p>
        </w:tc>
        <w:tc>
          <w:tcPr>
            <w:tcW w:w="3920" w:type="dxa"/>
            <w:gridSpan w:val="2"/>
            <w:vAlign w:val="top"/>
          </w:tcPr>
          <w:p w14:paraId="5EDC4BA0">
            <w:pPr>
              <w:pStyle w:val="6"/>
              <w:spacing w:before="111" w:line="219" w:lineRule="auto"/>
              <w:ind w:left="1349"/>
              <w:rPr>
                <w:sz w:val="24"/>
                <w:szCs w:val="24"/>
              </w:rPr>
            </w:pPr>
            <w:r>
              <w:rPr>
                <w:b/>
                <w:bCs/>
                <w:color w:val="606070"/>
                <w:spacing w:val="-5"/>
                <w:sz w:val="24"/>
                <w:szCs w:val="24"/>
              </w:rPr>
              <w:t>取水井坐标</w:t>
            </w:r>
          </w:p>
        </w:tc>
      </w:tr>
      <w:tr w14:paraId="5C39A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273" w:type="dxa"/>
            <w:vMerge w:val="continue"/>
            <w:tcBorders>
              <w:top w:val="nil"/>
            </w:tcBorders>
            <w:vAlign w:val="top"/>
          </w:tcPr>
          <w:p w14:paraId="316BBC30">
            <w:pPr>
              <w:rPr>
                <w:rFonts w:ascii="Arial"/>
                <w:sz w:val="21"/>
              </w:rPr>
            </w:pPr>
          </w:p>
        </w:tc>
        <w:tc>
          <w:tcPr>
            <w:tcW w:w="1408" w:type="dxa"/>
            <w:vMerge w:val="continue"/>
            <w:tcBorders>
              <w:top w:val="nil"/>
            </w:tcBorders>
            <w:vAlign w:val="top"/>
          </w:tcPr>
          <w:p w14:paraId="1D03110A">
            <w:pPr>
              <w:rPr>
                <w:rFonts w:ascii="Arial"/>
                <w:sz w:val="21"/>
              </w:rPr>
            </w:pPr>
          </w:p>
        </w:tc>
        <w:tc>
          <w:tcPr>
            <w:tcW w:w="1708" w:type="dxa"/>
            <w:vMerge w:val="continue"/>
            <w:tcBorders>
              <w:top w:val="nil"/>
            </w:tcBorders>
            <w:vAlign w:val="top"/>
          </w:tcPr>
          <w:p w14:paraId="7EE3A9BE">
            <w:pPr>
              <w:rPr>
                <w:rFonts w:ascii="Arial"/>
                <w:sz w:val="21"/>
              </w:rPr>
            </w:pPr>
          </w:p>
        </w:tc>
        <w:tc>
          <w:tcPr>
            <w:tcW w:w="1988" w:type="dxa"/>
            <w:vAlign w:val="top"/>
          </w:tcPr>
          <w:p w14:paraId="6AE62E0B">
            <w:pPr>
              <w:pStyle w:val="6"/>
              <w:spacing w:before="121" w:line="220" w:lineRule="auto"/>
              <w:ind w:left="569"/>
              <w:rPr>
                <w:sz w:val="24"/>
                <w:szCs w:val="24"/>
              </w:rPr>
            </w:pPr>
            <w:r>
              <w:rPr>
                <w:b/>
                <w:bCs/>
                <w:spacing w:val="6"/>
                <w:sz w:val="24"/>
                <w:szCs w:val="24"/>
              </w:rPr>
              <w:t>经度(E)</w:t>
            </w:r>
          </w:p>
        </w:tc>
        <w:tc>
          <w:tcPr>
            <w:tcW w:w="1932" w:type="dxa"/>
            <w:vAlign w:val="top"/>
          </w:tcPr>
          <w:p w14:paraId="41A943D8">
            <w:pPr>
              <w:pStyle w:val="6"/>
              <w:spacing w:before="121" w:line="220" w:lineRule="auto"/>
              <w:ind w:left="541"/>
              <w:rPr>
                <w:sz w:val="24"/>
                <w:szCs w:val="24"/>
              </w:rPr>
            </w:pPr>
            <w:r>
              <w:rPr>
                <w:b/>
                <w:bCs/>
                <w:color w:val="404050"/>
                <w:spacing w:val="-11"/>
                <w:sz w:val="24"/>
                <w:szCs w:val="24"/>
              </w:rPr>
              <w:t>纬度</w:t>
            </w:r>
            <w:r>
              <w:rPr>
                <w:b/>
                <w:bCs/>
                <w:spacing w:val="-11"/>
                <w:sz w:val="24"/>
                <w:szCs w:val="24"/>
              </w:rPr>
              <w:t>(N)</w:t>
            </w:r>
          </w:p>
        </w:tc>
      </w:tr>
      <w:tr w14:paraId="3F2B2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3" w:type="dxa"/>
            <w:vAlign w:val="top"/>
          </w:tcPr>
          <w:p w14:paraId="74CDD3DB">
            <w:pPr>
              <w:pStyle w:val="6"/>
              <w:spacing w:before="124" w:line="220" w:lineRule="auto"/>
              <w:ind w:left="268"/>
              <w:rPr>
                <w:sz w:val="24"/>
                <w:szCs w:val="24"/>
              </w:rPr>
            </w:pPr>
            <w:r>
              <w:rPr>
                <w:b/>
                <w:bCs/>
                <w:spacing w:val="2"/>
                <w:sz w:val="24"/>
                <w:szCs w:val="24"/>
              </w:rPr>
              <w:t>石拐区</w:t>
            </w:r>
          </w:p>
        </w:tc>
        <w:tc>
          <w:tcPr>
            <w:tcW w:w="1408" w:type="dxa"/>
            <w:vAlign w:val="top"/>
          </w:tcPr>
          <w:p w14:paraId="0E1E48BE">
            <w:pPr>
              <w:pStyle w:val="6"/>
              <w:spacing w:before="123" w:line="219" w:lineRule="auto"/>
              <w:ind w:left="215"/>
              <w:rPr>
                <w:sz w:val="24"/>
                <w:szCs w:val="24"/>
              </w:rPr>
            </w:pPr>
            <w:r>
              <w:rPr>
                <w:b/>
                <w:bCs/>
                <w:spacing w:val="-5"/>
                <w:sz w:val="24"/>
                <w:szCs w:val="24"/>
              </w:rPr>
              <w:t>地下水型</w:t>
            </w:r>
          </w:p>
        </w:tc>
        <w:tc>
          <w:tcPr>
            <w:tcW w:w="1708" w:type="dxa"/>
            <w:vAlign w:val="top"/>
          </w:tcPr>
          <w:p w14:paraId="7643FDA7">
            <w:pPr>
              <w:pStyle w:val="6"/>
              <w:spacing w:before="126" w:line="219" w:lineRule="auto"/>
              <w:ind w:left="363"/>
              <w:rPr>
                <w:sz w:val="24"/>
                <w:szCs w:val="24"/>
              </w:rPr>
            </w:pPr>
            <w:r>
              <w:rPr>
                <w:spacing w:val="2"/>
                <w:sz w:val="24"/>
                <w:szCs w:val="24"/>
              </w:rPr>
              <w:t>1#取水井</w:t>
            </w:r>
          </w:p>
        </w:tc>
        <w:tc>
          <w:tcPr>
            <w:tcW w:w="1988" w:type="dxa"/>
            <w:vAlign w:val="top"/>
          </w:tcPr>
          <w:p w14:paraId="2D7BE79D">
            <w:pPr>
              <w:pStyle w:val="6"/>
              <w:spacing w:before="150" w:line="239" w:lineRule="auto"/>
              <w:jc w:val="right"/>
              <w:rPr>
                <w:sz w:val="24"/>
                <w:szCs w:val="24"/>
              </w:rPr>
            </w:pPr>
            <w:r>
              <w:rPr>
                <w:spacing w:val="2"/>
                <w:sz w:val="24"/>
                <w:szCs w:val="24"/>
              </w:rPr>
              <w:t>110°15′40.72”</w:t>
            </w:r>
          </w:p>
        </w:tc>
        <w:tc>
          <w:tcPr>
            <w:tcW w:w="1932" w:type="dxa"/>
            <w:vAlign w:val="top"/>
          </w:tcPr>
          <w:p w14:paraId="2A8F4C42">
            <w:pPr>
              <w:pStyle w:val="6"/>
              <w:spacing w:before="150" w:line="239" w:lineRule="auto"/>
              <w:jc w:val="right"/>
              <w:rPr>
                <w:sz w:val="24"/>
                <w:szCs w:val="24"/>
              </w:rPr>
            </w:pPr>
            <w:r>
              <w:rPr>
                <w:spacing w:val="5"/>
                <w:sz w:val="24"/>
                <w:szCs w:val="24"/>
              </w:rPr>
              <w:t>40°42′41.42”</w:t>
            </w:r>
          </w:p>
        </w:tc>
      </w:tr>
    </w:tbl>
    <w:p w14:paraId="00398865">
      <w:pPr>
        <w:rPr>
          <w:rFonts w:ascii="Arial"/>
          <w:sz w:val="21"/>
        </w:rPr>
      </w:pPr>
    </w:p>
    <w:p w14:paraId="09A32F6C">
      <w:pPr>
        <w:rPr>
          <w:rFonts w:ascii="Arial" w:hAnsi="Arial" w:eastAsia="Arial" w:cs="Arial"/>
          <w:sz w:val="21"/>
          <w:szCs w:val="21"/>
        </w:rPr>
        <w:sectPr>
          <w:footerReference r:id="rId61" w:type="default"/>
          <w:pgSz w:w="12090" w:h="16970"/>
          <w:pgMar w:top="1442" w:right="1813" w:bottom="1436" w:left="1705" w:header="0" w:footer="1259" w:gutter="0"/>
          <w:cols w:space="720" w:num="1"/>
        </w:sectPr>
      </w:pPr>
    </w:p>
    <w:p w14:paraId="018064EF">
      <w:pPr>
        <w:spacing w:before="48" w:line="219" w:lineRule="auto"/>
        <w:ind w:left="590"/>
        <w:rPr>
          <w:rFonts w:ascii="宋体" w:hAnsi="宋体" w:eastAsia="宋体" w:cs="宋体"/>
          <w:sz w:val="24"/>
          <w:szCs w:val="24"/>
        </w:rPr>
      </w:pPr>
      <w:r>
        <w:rPr>
          <w:rFonts w:ascii="宋体" w:hAnsi="宋体" w:eastAsia="宋体" w:cs="宋体"/>
          <w:spacing w:val="14"/>
          <w:sz w:val="24"/>
          <w:szCs w:val="24"/>
        </w:rPr>
        <w:t>(4)《</w:t>
      </w:r>
      <w:r>
        <w:rPr>
          <w:rFonts w:ascii="宋体" w:hAnsi="宋体" w:eastAsia="宋体" w:cs="宋体"/>
          <w:spacing w:val="68"/>
          <w:sz w:val="24"/>
          <w:szCs w:val="24"/>
        </w:rPr>
        <w:t xml:space="preserve"> </w:t>
      </w:r>
      <w:r>
        <w:rPr>
          <w:rFonts w:ascii="宋体" w:hAnsi="宋体" w:eastAsia="宋体" w:cs="宋体"/>
          <w:spacing w:val="14"/>
          <w:sz w:val="24"/>
          <w:szCs w:val="24"/>
        </w:rPr>
        <w:t>包头市水资源公报》(2016 版)(包头市水务局)。</w:t>
      </w:r>
    </w:p>
    <w:p w14:paraId="57DB2515">
      <w:pPr>
        <w:spacing w:before="240" w:line="218" w:lineRule="auto"/>
        <w:rPr>
          <w:rFonts w:ascii="宋体" w:hAnsi="宋体" w:eastAsia="宋体" w:cs="宋体"/>
          <w:sz w:val="28"/>
          <w:szCs w:val="28"/>
        </w:rPr>
      </w:pPr>
      <w:r>
        <w:rPr>
          <w:rFonts w:ascii="宋体" w:hAnsi="宋体" w:eastAsia="宋体" w:cs="宋体"/>
          <w:spacing w:val="1"/>
          <w:sz w:val="28"/>
          <w:szCs w:val="28"/>
        </w:rPr>
        <w:t>1.3、</w:t>
      </w:r>
      <w:r>
        <w:rPr>
          <w:rFonts w:ascii="宋体" w:hAnsi="宋体" w:eastAsia="宋体" w:cs="宋体"/>
          <w:b/>
          <w:bCs/>
          <w:spacing w:val="1"/>
          <w:sz w:val="28"/>
          <w:szCs w:val="28"/>
        </w:rPr>
        <w:t>评估范围</w:t>
      </w:r>
    </w:p>
    <w:p w14:paraId="1F34B9EC">
      <w:pPr>
        <w:spacing w:before="233" w:line="342" w:lineRule="auto"/>
        <w:ind w:right="120" w:firstLine="469"/>
        <w:rPr>
          <w:rFonts w:ascii="宋体" w:hAnsi="宋体" w:eastAsia="宋体" w:cs="宋体"/>
          <w:sz w:val="24"/>
          <w:szCs w:val="24"/>
        </w:rPr>
      </w:pPr>
      <w:r>
        <w:rPr>
          <w:rFonts w:ascii="宋体" w:hAnsi="宋体" w:eastAsia="宋体" w:cs="宋体"/>
          <w:spacing w:val="-3"/>
          <w:sz w:val="24"/>
          <w:szCs w:val="24"/>
        </w:rPr>
        <w:t>本评估报告评估范围为包头市石拐区集中式饮用水水源地一、二级保护区地</w:t>
      </w:r>
      <w:r>
        <w:rPr>
          <w:rFonts w:ascii="宋体" w:hAnsi="宋体" w:eastAsia="宋体" w:cs="宋体"/>
          <w:spacing w:val="17"/>
          <w:sz w:val="24"/>
          <w:szCs w:val="24"/>
        </w:rPr>
        <w:t xml:space="preserve"> </w:t>
      </w:r>
      <w:r>
        <w:rPr>
          <w:rFonts w:ascii="宋体" w:hAnsi="宋体" w:eastAsia="宋体" w:cs="宋体"/>
          <w:spacing w:val="5"/>
          <w:sz w:val="24"/>
          <w:szCs w:val="24"/>
        </w:rPr>
        <w:t>域范围，其中一级保护区面积为0.1833</w:t>
      </w:r>
      <w:r>
        <w:rPr>
          <w:rFonts w:ascii="Times New Roman" w:hAnsi="Times New Roman" w:eastAsia="Times New Roman" w:cs="Times New Roman"/>
          <w:sz w:val="24"/>
          <w:szCs w:val="24"/>
        </w:rPr>
        <w:t>km</w:t>
      </w:r>
      <w:r>
        <w:rPr>
          <w:rFonts w:ascii="Times New Roman" w:hAnsi="Times New Roman" w:eastAsia="Times New Roman" w:cs="Times New Roman"/>
          <w:spacing w:val="5"/>
          <w:sz w:val="24"/>
          <w:szCs w:val="24"/>
        </w:rPr>
        <w:t>²,</w:t>
      </w:r>
      <w:r>
        <w:rPr>
          <w:rFonts w:ascii="宋体" w:hAnsi="宋体" w:eastAsia="宋体" w:cs="宋体"/>
          <w:color w:val="507060"/>
          <w:spacing w:val="5"/>
          <w:sz w:val="24"/>
          <w:szCs w:val="24"/>
        </w:rPr>
        <w:t>二级保护区面积</w:t>
      </w:r>
      <w:r>
        <w:rPr>
          <w:rFonts w:ascii="宋体" w:hAnsi="宋体" w:eastAsia="宋体" w:cs="宋体"/>
          <w:color w:val="507060"/>
          <w:spacing w:val="4"/>
          <w:sz w:val="24"/>
          <w:szCs w:val="24"/>
        </w:rPr>
        <w:t xml:space="preserve">为2.0865 </w:t>
      </w:r>
      <w:r>
        <w:rPr>
          <w:rFonts w:ascii="Times New Roman" w:hAnsi="Times New Roman" w:eastAsia="Times New Roman" w:cs="Times New Roman"/>
          <w:color w:val="507060"/>
          <w:sz w:val="24"/>
          <w:szCs w:val="24"/>
        </w:rPr>
        <w:t>km</w:t>
      </w:r>
      <w:r>
        <w:rPr>
          <w:rFonts w:ascii="Times New Roman" w:hAnsi="Times New Roman" w:eastAsia="Times New Roman" w:cs="Times New Roman"/>
          <w:color w:val="507060"/>
          <w:spacing w:val="4"/>
          <w:sz w:val="24"/>
          <w:szCs w:val="24"/>
        </w:rPr>
        <w:t>²</w:t>
      </w:r>
      <w:r>
        <w:rPr>
          <w:rFonts w:ascii="宋体" w:hAnsi="宋体" w:eastAsia="宋体" w:cs="宋体"/>
          <w:color w:val="507060"/>
          <w:spacing w:val="4"/>
          <w:sz w:val="24"/>
          <w:szCs w:val="24"/>
        </w:rPr>
        <w:t>。</w:t>
      </w:r>
    </w:p>
    <w:p w14:paraId="465AF606">
      <w:pPr>
        <w:spacing w:before="32" w:line="219" w:lineRule="auto"/>
        <w:ind w:left="469"/>
        <w:rPr>
          <w:rFonts w:ascii="宋体" w:hAnsi="宋体" w:eastAsia="宋体" w:cs="宋体"/>
          <w:sz w:val="26"/>
          <w:szCs w:val="26"/>
        </w:rPr>
      </w:pPr>
      <w:r>
        <w:rPr>
          <w:rFonts w:ascii="宋体" w:hAnsi="宋体" w:eastAsia="宋体" w:cs="宋体"/>
          <w:spacing w:val="-16"/>
          <w:sz w:val="26"/>
          <w:szCs w:val="26"/>
        </w:rPr>
        <w:t>包头市石拐区集中式饮用水水源地一、二级保护区保护范围见表2-2。</w:t>
      </w:r>
    </w:p>
    <w:p w14:paraId="15CE9386">
      <w:pPr>
        <w:spacing w:before="245" w:line="218" w:lineRule="auto"/>
        <w:rPr>
          <w:rFonts w:ascii="宋体" w:hAnsi="宋体" w:eastAsia="宋体" w:cs="宋体"/>
          <w:sz w:val="28"/>
          <w:szCs w:val="28"/>
        </w:rPr>
      </w:pPr>
      <w:r>
        <w:rPr>
          <w:rFonts w:ascii="宋体" w:hAnsi="宋体" w:eastAsia="宋体" w:cs="宋体"/>
          <w:color w:val="507060"/>
          <w:spacing w:val="-1"/>
          <w:sz w:val="28"/>
          <w:szCs w:val="28"/>
        </w:rPr>
        <w:t>1.</w:t>
      </w:r>
      <w:r>
        <w:rPr>
          <w:rFonts w:ascii="宋体" w:hAnsi="宋体" w:eastAsia="宋体" w:cs="宋体"/>
          <w:b/>
          <w:bCs/>
          <w:color w:val="507060"/>
          <w:spacing w:val="-1"/>
          <w:sz w:val="28"/>
          <w:szCs w:val="28"/>
        </w:rPr>
        <w:t>4、评估方法及技术路线</w:t>
      </w:r>
    </w:p>
    <w:p w14:paraId="6200E2C1">
      <w:pPr>
        <w:spacing w:before="224" w:line="362" w:lineRule="auto"/>
        <w:ind w:firstLine="469"/>
        <w:jc w:val="both"/>
        <w:rPr>
          <w:rFonts w:ascii="宋体" w:hAnsi="宋体" w:eastAsia="宋体" w:cs="宋体"/>
          <w:sz w:val="24"/>
          <w:szCs w:val="24"/>
        </w:rPr>
      </w:pPr>
      <w:r>
        <w:rPr>
          <w:rFonts w:ascii="宋体" w:hAnsi="宋体" w:eastAsia="宋体" w:cs="宋体"/>
          <w:spacing w:val="-6"/>
          <w:sz w:val="24"/>
          <w:szCs w:val="24"/>
        </w:rPr>
        <w:t>针对饮用水水源地，国家没有颁布正式的风险评估指南，本次评估中固定源、</w:t>
      </w:r>
      <w:r>
        <w:rPr>
          <w:rFonts w:ascii="宋体" w:hAnsi="宋体" w:eastAsia="宋体" w:cs="宋体"/>
          <w:spacing w:val="3"/>
          <w:sz w:val="24"/>
          <w:szCs w:val="24"/>
        </w:rPr>
        <w:t xml:space="preserve"> </w:t>
      </w:r>
      <w:r>
        <w:rPr>
          <w:rFonts w:ascii="宋体" w:hAnsi="宋体" w:eastAsia="宋体" w:cs="宋体"/>
          <w:spacing w:val="8"/>
          <w:sz w:val="24"/>
          <w:szCs w:val="24"/>
        </w:rPr>
        <w:t>移动源、非点源环境风险评估参照《集中式饮用水水</w:t>
      </w:r>
      <w:r>
        <w:rPr>
          <w:rFonts w:ascii="宋体" w:hAnsi="宋体" w:eastAsia="宋体" w:cs="宋体"/>
          <w:spacing w:val="7"/>
          <w:sz w:val="24"/>
          <w:szCs w:val="24"/>
        </w:rPr>
        <w:t>源环境保护指南(试行)》</w:t>
      </w:r>
      <w:r>
        <w:rPr>
          <w:rFonts w:ascii="宋体" w:hAnsi="宋体" w:eastAsia="宋体" w:cs="宋体"/>
          <w:sz w:val="24"/>
          <w:szCs w:val="24"/>
        </w:rPr>
        <w:t xml:space="preserve"> 进行评估，同时结合《行政区域突发环境事件风险评估推荐方法》进行评估。</w:t>
      </w:r>
    </w:p>
    <w:p w14:paraId="76CA351E">
      <w:pPr>
        <w:spacing w:line="362" w:lineRule="auto"/>
        <w:rPr>
          <w:rFonts w:ascii="宋体" w:hAnsi="宋体" w:eastAsia="宋体" w:cs="宋体"/>
          <w:sz w:val="24"/>
          <w:szCs w:val="24"/>
        </w:rPr>
        <w:sectPr>
          <w:footerReference r:id="rId62" w:type="default"/>
          <w:pgSz w:w="11910" w:h="16850"/>
          <w:pgMar w:top="1361" w:right="1769" w:bottom="1533" w:left="1710" w:header="0" w:footer="1371" w:gutter="0"/>
          <w:cols w:space="720" w:num="1"/>
        </w:sectPr>
      </w:pPr>
    </w:p>
    <w:p w14:paraId="5AAFD09C">
      <w:pPr>
        <w:spacing w:before="186" w:line="283" w:lineRule="auto"/>
        <w:ind w:right="138" w:firstLine="600"/>
        <w:rPr>
          <w:rFonts w:ascii="宋体" w:hAnsi="宋体" w:eastAsia="宋体" w:cs="宋体"/>
          <w:sz w:val="24"/>
          <w:szCs w:val="24"/>
        </w:rPr>
      </w:pPr>
      <w:r>
        <w:rPr>
          <w:rFonts w:ascii="宋体" w:hAnsi="宋体" w:eastAsia="宋体" w:cs="宋体"/>
          <w:spacing w:val="9"/>
          <w:sz w:val="24"/>
          <w:szCs w:val="24"/>
        </w:rPr>
        <w:t>(5)《石拐区住房和城乡建设局关于石拐区</w:t>
      </w:r>
      <w:r>
        <w:rPr>
          <w:rFonts w:ascii="宋体" w:hAnsi="宋体" w:eastAsia="宋体" w:cs="宋体"/>
          <w:spacing w:val="8"/>
          <w:sz w:val="24"/>
          <w:szCs w:val="24"/>
        </w:rPr>
        <w:t>集中式饮用水源地保护区2号</w:t>
      </w:r>
      <w:r>
        <w:rPr>
          <w:rFonts w:ascii="宋体" w:hAnsi="宋体" w:eastAsia="宋体" w:cs="宋体"/>
          <w:sz w:val="24"/>
          <w:szCs w:val="24"/>
        </w:rPr>
        <w:t xml:space="preserve"> 水井不做备用、应急水井的情况说明》;</w:t>
      </w:r>
    </w:p>
    <w:p w14:paraId="1F156ED3">
      <w:pPr>
        <w:spacing w:before="214" w:line="268" w:lineRule="auto"/>
        <w:ind w:right="148" w:firstLine="600"/>
        <w:rPr>
          <w:rFonts w:ascii="宋体" w:hAnsi="宋体" w:eastAsia="宋体" w:cs="宋体"/>
          <w:sz w:val="24"/>
          <w:szCs w:val="24"/>
        </w:rPr>
      </w:pPr>
      <w:r>
        <w:rPr>
          <w:rFonts w:ascii="宋体" w:hAnsi="宋体" w:eastAsia="宋体" w:cs="宋体"/>
          <w:spacing w:val="5"/>
          <w:sz w:val="24"/>
          <w:szCs w:val="24"/>
        </w:rPr>
        <w:t>(6)《石拐区农牧林水局关于石拐区缸房地饮</w:t>
      </w:r>
      <w:r>
        <w:rPr>
          <w:rFonts w:ascii="宋体" w:hAnsi="宋体" w:eastAsia="宋体" w:cs="宋体"/>
          <w:spacing w:val="4"/>
          <w:sz w:val="24"/>
          <w:szCs w:val="24"/>
        </w:rPr>
        <w:t>用水源井是否存在防汛隐患</w:t>
      </w:r>
      <w:r>
        <w:rPr>
          <w:rFonts w:ascii="宋体" w:hAnsi="宋体" w:eastAsia="宋体" w:cs="宋体"/>
          <w:sz w:val="24"/>
          <w:szCs w:val="24"/>
        </w:rPr>
        <w:t xml:space="preserve"> </w:t>
      </w:r>
      <w:r>
        <w:rPr>
          <w:rFonts w:ascii="宋体" w:hAnsi="宋体" w:eastAsia="宋体" w:cs="宋体"/>
          <w:spacing w:val="-6"/>
          <w:sz w:val="24"/>
          <w:szCs w:val="24"/>
        </w:rPr>
        <w:t>的复函》;</w:t>
      </w:r>
    </w:p>
    <w:p w14:paraId="5019C8DA">
      <w:pPr>
        <w:spacing w:before="221" w:line="279" w:lineRule="auto"/>
        <w:ind w:right="161" w:firstLine="600"/>
        <w:rPr>
          <w:rFonts w:ascii="宋体" w:hAnsi="宋体" w:eastAsia="宋体" w:cs="宋体"/>
          <w:sz w:val="24"/>
          <w:szCs w:val="24"/>
        </w:rPr>
      </w:pPr>
      <w:r>
        <w:rPr>
          <w:rFonts w:ascii="宋体" w:hAnsi="宋体" w:eastAsia="宋体" w:cs="宋体"/>
          <w:spacing w:val="4"/>
          <w:sz w:val="24"/>
          <w:szCs w:val="24"/>
        </w:rPr>
        <w:t>(7)《包头市石拐区自然资源局关于确定拟划定的水源地保护区范围内是</w:t>
      </w:r>
      <w:r>
        <w:rPr>
          <w:rFonts w:ascii="宋体" w:hAnsi="宋体" w:eastAsia="宋体" w:cs="宋体"/>
          <w:spacing w:val="9"/>
          <w:sz w:val="24"/>
          <w:szCs w:val="24"/>
        </w:rPr>
        <w:t xml:space="preserve"> </w:t>
      </w:r>
      <w:r>
        <w:rPr>
          <w:rFonts w:ascii="宋体" w:hAnsi="宋体" w:eastAsia="宋体" w:cs="宋体"/>
          <w:spacing w:val="-2"/>
          <w:sz w:val="24"/>
          <w:szCs w:val="24"/>
        </w:rPr>
        <w:t>否存在采、探矿权的复函》。</w:t>
      </w:r>
    </w:p>
    <w:p w14:paraId="5BE3A6EB">
      <w:pPr>
        <w:spacing w:before="168" w:line="220" w:lineRule="auto"/>
        <w:rPr>
          <w:rFonts w:ascii="宋体" w:hAnsi="宋体" w:eastAsia="宋体" w:cs="宋体"/>
          <w:sz w:val="26"/>
          <w:szCs w:val="26"/>
        </w:rPr>
      </w:pPr>
      <w:r>
        <w:rPr>
          <w:rFonts w:ascii="宋体" w:hAnsi="宋体" w:eastAsia="宋体" w:cs="宋体"/>
          <w:spacing w:val="-6"/>
          <w:sz w:val="26"/>
          <w:szCs w:val="26"/>
        </w:rPr>
        <w:t>1.2.3相关规划</w:t>
      </w:r>
    </w:p>
    <w:p w14:paraId="00040B8C">
      <w:pPr>
        <w:spacing w:before="186" w:line="218" w:lineRule="auto"/>
        <w:ind w:left="600"/>
        <w:rPr>
          <w:rFonts w:ascii="宋体" w:hAnsi="宋体" w:eastAsia="宋体" w:cs="宋体"/>
          <w:sz w:val="24"/>
          <w:szCs w:val="24"/>
        </w:rPr>
      </w:pPr>
      <w:r>
        <w:rPr>
          <w:rFonts w:ascii="宋体" w:hAnsi="宋体" w:eastAsia="宋体" w:cs="宋体"/>
          <w:spacing w:val="18"/>
          <w:sz w:val="24"/>
          <w:szCs w:val="24"/>
        </w:rPr>
        <w:t>(1)《包头市水环境功能区划技术报告》(2013年);</w:t>
      </w:r>
    </w:p>
    <w:p w14:paraId="0BA57494">
      <w:pPr>
        <w:spacing w:before="199" w:line="219" w:lineRule="auto"/>
        <w:ind w:left="600"/>
        <w:rPr>
          <w:rFonts w:ascii="宋体" w:hAnsi="宋体" w:eastAsia="宋体" w:cs="宋体"/>
          <w:sz w:val="24"/>
          <w:szCs w:val="24"/>
        </w:rPr>
      </w:pPr>
      <w:r>
        <w:rPr>
          <w:rFonts w:ascii="宋体" w:hAnsi="宋体" w:eastAsia="宋体" w:cs="宋体"/>
          <w:spacing w:val="6"/>
          <w:sz w:val="24"/>
          <w:szCs w:val="24"/>
        </w:rPr>
        <w:t>(2)《包头市“十三五”环境保护规划》;</w:t>
      </w:r>
    </w:p>
    <w:p w14:paraId="0E8F0CDF">
      <w:pPr>
        <w:spacing w:before="185" w:line="219" w:lineRule="auto"/>
        <w:ind w:left="600"/>
        <w:rPr>
          <w:rFonts w:ascii="宋体" w:hAnsi="宋体" w:eastAsia="宋体" w:cs="宋体"/>
          <w:sz w:val="24"/>
          <w:szCs w:val="24"/>
        </w:rPr>
      </w:pPr>
      <w:r>
        <w:rPr>
          <w:rFonts w:ascii="宋体" w:hAnsi="宋体" w:eastAsia="宋体" w:cs="宋体"/>
          <w:spacing w:val="6"/>
          <w:sz w:val="24"/>
          <w:szCs w:val="24"/>
        </w:rPr>
        <w:t>(3)《全国饮用水水源地环境保护规划》;</w:t>
      </w:r>
    </w:p>
    <w:p w14:paraId="4985953F">
      <w:pPr>
        <w:spacing w:before="183" w:line="218" w:lineRule="auto"/>
        <w:ind w:left="600"/>
        <w:rPr>
          <w:rFonts w:ascii="宋体" w:hAnsi="宋体" w:eastAsia="宋体" w:cs="宋体"/>
          <w:sz w:val="24"/>
          <w:szCs w:val="24"/>
        </w:rPr>
      </w:pPr>
      <w:r>
        <w:rPr>
          <w:rFonts w:ascii="宋体" w:hAnsi="宋体" w:eastAsia="宋体" w:cs="宋体"/>
          <w:color w:val="606070"/>
          <w:spacing w:val="20"/>
          <w:sz w:val="24"/>
          <w:szCs w:val="24"/>
        </w:rPr>
        <w:t>(4)《包头市环境综合功能区划研究技术报告》(2011年10月);</w:t>
      </w:r>
    </w:p>
    <w:p w14:paraId="7F469079">
      <w:pPr>
        <w:spacing w:before="188" w:line="283" w:lineRule="auto"/>
        <w:ind w:right="161" w:firstLine="600"/>
        <w:rPr>
          <w:rFonts w:ascii="宋体" w:hAnsi="宋体" w:eastAsia="宋体" w:cs="宋体"/>
          <w:sz w:val="24"/>
          <w:szCs w:val="24"/>
        </w:rPr>
      </w:pPr>
      <w:r>
        <w:rPr>
          <w:rFonts w:ascii="宋体" w:hAnsi="宋体" w:eastAsia="宋体" w:cs="宋体"/>
          <w:spacing w:val="8"/>
          <w:sz w:val="24"/>
          <w:szCs w:val="24"/>
        </w:rPr>
        <w:t>(5)《内蒙古自治区水功能区管理办法》(内蒙古自治区人民政</w:t>
      </w:r>
      <w:r>
        <w:rPr>
          <w:rFonts w:ascii="宋体" w:hAnsi="宋体" w:eastAsia="宋体" w:cs="宋体"/>
          <w:spacing w:val="7"/>
          <w:sz w:val="24"/>
          <w:szCs w:val="24"/>
        </w:rPr>
        <w:t>府办公厅</w:t>
      </w:r>
      <w:r>
        <w:rPr>
          <w:rFonts w:ascii="宋体" w:hAnsi="宋体" w:eastAsia="宋体" w:cs="宋体"/>
          <w:sz w:val="24"/>
          <w:szCs w:val="24"/>
        </w:rPr>
        <w:t xml:space="preserve"> </w:t>
      </w:r>
      <w:r>
        <w:rPr>
          <w:rFonts w:ascii="宋体" w:hAnsi="宋体" w:eastAsia="宋体" w:cs="宋体"/>
          <w:spacing w:val="23"/>
          <w:sz w:val="24"/>
          <w:szCs w:val="24"/>
        </w:rPr>
        <w:t>内政办发(2015)37号，2015);</w:t>
      </w:r>
    </w:p>
    <w:p w14:paraId="4DF9BF1A">
      <w:pPr>
        <w:spacing w:before="195" w:line="279" w:lineRule="auto"/>
        <w:ind w:right="73" w:firstLine="600"/>
        <w:rPr>
          <w:rFonts w:ascii="宋体" w:hAnsi="宋体" w:eastAsia="宋体" w:cs="宋体"/>
          <w:sz w:val="24"/>
          <w:szCs w:val="24"/>
        </w:rPr>
      </w:pPr>
      <w:r>
        <w:rPr>
          <w:rFonts w:ascii="宋体" w:hAnsi="宋体" w:eastAsia="宋体" w:cs="宋体"/>
          <w:spacing w:val="6"/>
          <w:sz w:val="24"/>
          <w:szCs w:val="24"/>
        </w:rPr>
        <w:t>(6)《全国水资源保护规划(2016～2030 年)》(中华人民共</w:t>
      </w:r>
      <w:r>
        <w:rPr>
          <w:rFonts w:ascii="宋体" w:hAnsi="宋体" w:eastAsia="宋体" w:cs="宋体"/>
          <w:spacing w:val="5"/>
          <w:sz w:val="24"/>
          <w:szCs w:val="24"/>
        </w:rPr>
        <w:t>和国水利部，</w:t>
      </w:r>
      <w:r>
        <w:rPr>
          <w:rFonts w:ascii="宋体" w:hAnsi="宋体" w:eastAsia="宋体" w:cs="宋体"/>
          <w:sz w:val="24"/>
          <w:szCs w:val="24"/>
        </w:rPr>
        <w:t xml:space="preserve"> </w:t>
      </w:r>
      <w:r>
        <w:rPr>
          <w:rFonts w:ascii="宋体" w:hAnsi="宋体" w:eastAsia="宋体" w:cs="宋体"/>
          <w:spacing w:val="34"/>
          <w:sz w:val="24"/>
          <w:szCs w:val="24"/>
        </w:rPr>
        <w:t>2017年);</w:t>
      </w:r>
    </w:p>
    <w:p w14:paraId="25146402">
      <w:pPr>
        <w:spacing w:before="223" w:line="268" w:lineRule="auto"/>
        <w:ind w:right="195" w:firstLine="600"/>
        <w:rPr>
          <w:rFonts w:ascii="宋体" w:hAnsi="宋体" w:eastAsia="宋体" w:cs="宋体"/>
          <w:sz w:val="24"/>
          <w:szCs w:val="24"/>
        </w:rPr>
      </w:pPr>
      <w:r>
        <w:rPr>
          <w:rFonts w:ascii="宋体" w:hAnsi="宋体" w:eastAsia="宋体" w:cs="宋体"/>
          <w:spacing w:val="12"/>
          <w:sz w:val="24"/>
          <w:szCs w:val="24"/>
        </w:rPr>
        <w:t>(7)《包头市城市总体规划(2011～2020年)》(包头市人民政府，20</w:t>
      </w:r>
      <w:r>
        <w:rPr>
          <w:rFonts w:ascii="宋体" w:hAnsi="宋体" w:eastAsia="宋体" w:cs="宋体"/>
          <w:spacing w:val="11"/>
          <w:sz w:val="24"/>
          <w:szCs w:val="24"/>
        </w:rPr>
        <w:t>15</w:t>
      </w:r>
      <w:r>
        <w:rPr>
          <w:rFonts w:ascii="宋体" w:hAnsi="宋体" w:eastAsia="宋体" w:cs="宋体"/>
          <w:sz w:val="24"/>
          <w:szCs w:val="24"/>
        </w:rPr>
        <w:t xml:space="preserve"> </w:t>
      </w:r>
      <w:r>
        <w:rPr>
          <w:rFonts w:ascii="宋体" w:hAnsi="宋体" w:eastAsia="宋体" w:cs="宋体"/>
          <w:spacing w:val="31"/>
          <w:sz w:val="24"/>
          <w:szCs w:val="24"/>
        </w:rPr>
        <w:t>年12月)。</w:t>
      </w:r>
    </w:p>
    <w:p w14:paraId="7CDC53A2">
      <w:pPr>
        <w:spacing w:before="173" w:line="220" w:lineRule="auto"/>
        <w:rPr>
          <w:rFonts w:ascii="宋体" w:hAnsi="宋体" w:eastAsia="宋体" w:cs="宋体"/>
          <w:sz w:val="26"/>
          <w:szCs w:val="26"/>
        </w:rPr>
      </w:pPr>
      <w:r>
        <w:rPr>
          <w:rFonts w:ascii="宋体" w:hAnsi="宋体" w:eastAsia="宋体" w:cs="宋体"/>
          <w:spacing w:val="-9"/>
          <w:sz w:val="26"/>
          <w:szCs w:val="26"/>
        </w:rPr>
        <w:t>1.</w:t>
      </w:r>
      <w:r>
        <w:rPr>
          <w:rFonts w:ascii="宋体" w:hAnsi="宋体" w:eastAsia="宋体" w:cs="宋体"/>
          <w:b/>
          <w:bCs/>
          <w:spacing w:val="-9"/>
          <w:sz w:val="26"/>
          <w:szCs w:val="26"/>
        </w:rPr>
        <w:t>2.4相关标准</w:t>
      </w:r>
    </w:p>
    <w:p w14:paraId="6EBC0D1A">
      <w:pPr>
        <w:spacing w:before="185" w:line="212" w:lineRule="auto"/>
        <w:ind w:left="600"/>
        <w:rPr>
          <w:rFonts w:ascii="Times New Roman" w:hAnsi="Times New Roman" w:eastAsia="Times New Roman" w:cs="Times New Roman"/>
          <w:sz w:val="24"/>
          <w:szCs w:val="24"/>
        </w:rPr>
      </w:pPr>
      <w:r>
        <w:rPr>
          <w:rFonts w:ascii="宋体" w:hAnsi="宋体" w:eastAsia="宋体" w:cs="宋体"/>
          <w:spacing w:val="-1"/>
          <w:sz w:val="24"/>
          <w:szCs w:val="24"/>
        </w:rPr>
        <w:t>(1)《饮用水水源保护区标志技术要求》</w:t>
      </w:r>
      <w:r>
        <w:rPr>
          <w:rFonts w:ascii="宋体" w:hAnsi="宋体" w:eastAsia="宋体" w:cs="宋体"/>
          <w:spacing w:val="76"/>
          <w:sz w:val="24"/>
          <w:szCs w:val="24"/>
        </w:rPr>
        <w:t xml:space="preserve"> </w:t>
      </w:r>
      <w:r>
        <w:rPr>
          <w:rFonts w:ascii="宋体" w:hAnsi="宋体" w:eastAsia="宋体" w:cs="宋体"/>
          <w:spacing w:val="-1"/>
          <w:sz w:val="24"/>
          <w:szCs w:val="24"/>
        </w:rPr>
        <w:t>(</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HJ/T433—2008);</w:t>
      </w:r>
    </w:p>
    <w:p w14:paraId="0F383165">
      <w:pPr>
        <w:spacing w:before="195" w:line="212" w:lineRule="auto"/>
        <w:ind w:left="600"/>
        <w:rPr>
          <w:rFonts w:ascii="Times New Roman" w:hAnsi="Times New Roman" w:eastAsia="Times New Roman" w:cs="Times New Roman"/>
          <w:sz w:val="24"/>
          <w:szCs w:val="24"/>
        </w:rPr>
      </w:pPr>
      <w:r>
        <w:rPr>
          <w:rFonts w:ascii="宋体" w:hAnsi="宋体" w:eastAsia="宋体" w:cs="宋体"/>
          <w:spacing w:val="-2"/>
          <w:sz w:val="24"/>
          <w:szCs w:val="24"/>
        </w:rPr>
        <w:t>(2)《生活饮用水卫生标准》</w:t>
      </w:r>
      <w:r>
        <w:rPr>
          <w:rFonts w:ascii="宋体" w:hAnsi="宋体" w:eastAsia="宋体" w:cs="宋体"/>
          <w:spacing w:val="84"/>
          <w:sz w:val="24"/>
          <w:szCs w:val="24"/>
        </w:rPr>
        <w:t xml:space="preserve"> </w:t>
      </w:r>
      <w:r>
        <w:rPr>
          <w:rFonts w:ascii="宋体" w:hAnsi="宋体" w:eastAsia="宋体" w:cs="宋体"/>
          <w:spacing w:val="-2"/>
          <w:sz w:val="24"/>
          <w:szCs w:val="24"/>
        </w:rPr>
        <w:t>(</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GB5749—2006);</w:t>
      </w:r>
    </w:p>
    <w:p w14:paraId="5FD1F734">
      <w:pPr>
        <w:spacing w:before="194" w:line="212" w:lineRule="auto"/>
        <w:ind w:left="600"/>
        <w:rPr>
          <w:rFonts w:ascii="Times New Roman" w:hAnsi="Times New Roman" w:eastAsia="Times New Roman" w:cs="Times New Roman"/>
          <w:sz w:val="24"/>
          <w:szCs w:val="24"/>
        </w:rPr>
      </w:pPr>
      <w:r>
        <w:rPr>
          <w:rFonts w:ascii="宋体" w:hAnsi="宋体" w:eastAsia="宋体" w:cs="宋体"/>
          <w:spacing w:val="-2"/>
          <w:sz w:val="24"/>
          <w:szCs w:val="24"/>
        </w:rPr>
        <w:t>(3)《地下水质量标准》</w:t>
      </w:r>
      <w:r>
        <w:rPr>
          <w:rFonts w:ascii="宋体" w:hAnsi="宋体" w:eastAsia="宋体" w:cs="宋体"/>
          <w:spacing w:val="86"/>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GB/T14848—2017);</w:t>
      </w:r>
    </w:p>
    <w:p w14:paraId="58750707">
      <w:pPr>
        <w:spacing w:before="194" w:line="212" w:lineRule="auto"/>
        <w:ind w:left="600"/>
        <w:rPr>
          <w:rFonts w:ascii="Times New Roman" w:hAnsi="Times New Roman" w:eastAsia="Times New Roman" w:cs="Times New Roman"/>
          <w:sz w:val="24"/>
          <w:szCs w:val="24"/>
        </w:rPr>
      </w:pPr>
      <w:r>
        <w:rPr>
          <w:rFonts w:ascii="宋体" w:hAnsi="宋体" w:eastAsia="宋体" w:cs="宋体"/>
          <w:sz w:val="24"/>
          <w:szCs w:val="24"/>
        </w:rPr>
        <w:t>(4)《污水综合排放标准》</w:t>
      </w:r>
      <w:r>
        <w:rPr>
          <w:rFonts w:ascii="宋体" w:hAnsi="宋体" w:eastAsia="宋体" w:cs="宋体"/>
          <w:spacing w:val="68"/>
          <w:sz w:val="24"/>
          <w:szCs w:val="24"/>
        </w:rPr>
        <w:t xml:space="preserve"> </w:t>
      </w:r>
      <w:r>
        <w:rPr>
          <w:rFonts w:ascii="Times New Roman" w:hAnsi="Times New Roman" w:eastAsia="Times New Roman" w:cs="Times New Roman"/>
          <w:sz w:val="24"/>
          <w:szCs w:val="24"/>
        </w:rPr>
        <w:t>(GB8978—1996);</w:t>
      </w:r>
    </w:p>
    <w:p w14:paraId="31E0E418">
      <w:pPr>
        <w:spacing w:before="175" w:line="212" w:lineRule="auto"/>
        <w:ind w:left="600"/>
        <w:rPr>
          <w:rFonts w:ascii="Times New Roman" w:hAnsi="Times New Roman" w:eastAsia="Times New Roman" w:cs="Times New Roman"/>
          <w:sz w:val="24"/>
          <w:szCs w:val="24"/>
        </w:rPr>
      </w:pPr>
      <w:r>
        <w:rPr>
          <w:rFonts w:ascii="宋体" w:hAnsi="宋体" w:eastAsia="宋体" w:cs="宋体"/>
          <w:spacing w:val="1"/>
          <w:sz w:val="24"/>
          <w:szCs w:val="24"/>
        </w:rPr>
        <w:t>(5)《地表水环境质量标准》</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3838—2002);</w:t>
      </w:r>
    </w:p>
    <w:p w14:paraId="1787BA30">
      <w:pPr>
        <w:spacing w:before="194" w:line="212" w:lineRule="auto"/>
        <w:ind w:left="600"/>
        <w:rPr>
          <w:rFonts w:ascii="Times New Roman" w:hAnsi="Times New Roman" w:eastAsia="Times New Roman" w:cs="Times New Roman"/>
          <w:sz w:val="24"/>
          <w:szCs w:val="24"/>
        </w:rPr>
      </w:pPr>
      <w:r>
        <w:rPr>
          <w:rFonts w:ascii="宋体" w:hAnsi="宋体" w:eastAsia="宋体" w:cs="宋体"/>
          <w:spacing w:val="-1"/>
          <w:sz w:val="24"/>
          <w:szCs w:val="24"/>
        </w:rPr>
        <w:t>(6)《生活饮用水水源水质标准》</w:t>
      </w:r>
      <w:r>
        <w:rPr>
          <w:rFonts w:ascii="宋体" w:hAnsi="宋体" w:eastAsia="宋体" w:cs="宋体"/>
          <w:spacing w:val="84"/>
          <w:sz w:val="24"/>
          <w:szCs w:val="24"/>
        </w:rPr>
        <w:t xml:space="preserve"> </w:t>
      </w:r>
      <w:r>
        <w:rPr>
          <w:rFonts w:ascii="宋体" w:hAnsi="宋体" w:eastAsia="宋体" w:cs="宋体"/>
          <w:spacing w:val="-1"/>
          <w:sz w:val="24"/>
          <w:szCs w:val="24"/>
        </w:rPr>
        <w:t>(</w:t>
      </w:r>
      <w:r>
        <w:rPr>
          <w:rFonts w:ascii="宋体" w:hAnsi="宋体" w:eastAsia="宋体" w:cs="宋体"/>
          <w:spacing w:val="-59"/>
          <w:sz w:val="24"/>
          <w:szCs w:val="24"/>
        </w:rPr>
        <w:t xml:space="preserve"> </w:t>
      </w:r>
      <w:r>
        <w:rPr>
          <w:rFonts w:ascii="Times New Roman" w:hAnsi="Times New Roman" w:eastAsia="Times New Roman" w:cs="Times New Roman"/>
          <w:spacing w:val="-1"/>
          <w:sz w:val="24"/>
          <w:szCs w:val="24"/>
        </w:rPr>
        <w:t>CJ3020—93)</w:t>
      </w:r>
      <w:r>
        <w:rPr>
          <w:rFonts w:ascii="宋体" w:hAnsi="宋体" w:eastAsia="宋体" w:cs="宋体"/>
          <w:spacing w:val="-1"/>
          <w:sz w:val="24"/>
          <w:szCs w:val="24"/>
        </w:rPr>
        <w:t>》</w:t>
      </w:r>
      <w:r>
        <w:rPr>
          <w:rFonts w:ascii="Times New Roman" w:hAnsi="Times New Roman" w:eastAsia="Times New Roman" w:cs="Times New Roman"/>
          <w:spacing w:val="-1"/>
          <w:sz w:val="24"/>
          <w:szCs w:val="24"/>
        </w:rPr>
        <w:t>;</w:t>
      </w:r>
    </w:p>
    <w:p w14:paraId="794C21CC">
      <w:pPr>
        <w:spacing w:before="180" w:line="220" w:lineRule="auto"/>
        <w:rPr>
          <w:rFonts w:ascii="宋体" w:hAnsi="宋体" w:eastAsia="宋体" w:cs="宋体"/>
          <w:sz w:val="26"/>
          <w:szCs w:val="26"/>
        </w:rPr>
      </w:pPr>
      <w:r>
        <w:rPr>
          <w:rFonts w:ascii="宋体" w:hAnsi="宋体" w:eastAsia="宋体" w:cs="宋体"/>
          <w:spacing w:val="-9"/>
          <w:sz w:val="26"/>
          <w:szCs w:val="26"/>
        </w:rPr>
        <w:t>1.</w:t>
      </w:r>
      <w:r>
        <w:rPr>
          <w:rFonts w:ascii="宋体" w:hAnsi="宋体" w:eastAsia="宋体" w:cs="宋体"/>
          <w:b/>
          <w:bCs/>
          <w:spacing w:val="-9"/>
          <w:sz w:val="26"/>
          <w:szCs w:val="26"/>
        </w:rPr>
        <w:t>2.5相关规划</w:t>
      </w:r>
    </w:p>
    <w:p w14:paraId="6D0E0EC7">
      <w:pPr>
        <w:pStyle w:val="2"/>
        <w:spacing w:before="231" w:line="280" w:lineRule="auto"/>
        <w:ind w:right="162" w:firstLine="600"/>
        <w:rPr>
          <w:sz w:val="24"/>
          <w:szCs w:val="24"/>
        </w:rPr>
      </w:pPr>
      <w:r>
        <w:rPr>
          <w:rFonts w:ascii="宋体" w:hAnsi="宋体" w:eastAsia="宋体" w:cs="宋体"/>
          <w:spacing w:val="4"/>
          <w:sz w:val="24"/>
          <w:szCs w:val="24"/>
        </w:rPr>
        <w:t>(1)《包头市石拐区集中式饮用水水源</w:t>
      </w:r>
      <w:r>
        <w:rPr>
          <w:rFonts w:ascii="宋体" w:hAnsi="宋体" w:eastAsia="宋体" w:cs="宋体"/>
          <w:color w:val="606070"/>
          <w:spacing w:val="4"/>
          <w:sz w:val="24"/>
          <w:szCs w:val="24"/>
        </w:rPr>
        <w:t>地保护区划分调整方案项目环境水</w:t>
      </w:r>
      <w:r>
        <w:rPr>
          <w:rFonts w:ascii="宋体" w:hAnsi="宋体" w:eastAsia="宋体" w:cs="宋体"/>
          <w:color w:val="606070"/>
          <w:spacing w:val="8"/>
          <w:sz w:val="24"/>
          <w:szCs w:val="24"/>
        </w:rPr>
        <w:t xml:space="preserve"> </w:t>
      </w:r>
      <w:r>
        <w:rPr>
          <w:rFonts w:ascii="宋体" w:hAnsi="宋体" w:eastAsia="宋体" w:cs="宋体"/>
          <w:spacing w:val="2"/>
          <w:sz w:val="24"/>
          <w:szCs w:val="24"/>
        </w:rPr>
        <w:t>文地质勘察报告》(内蒙古联邦地质勘查有限责任公司，</w:t>
      </w:r>
      <w:r>
        <w:rPr>
          <w:spacing w:val="36"/>
          <w:w w:val="110"/>
          <w:sz w:val="24"/>
          <w:szCs w:val="24"/>
        </w:rPr>
        <w:t>2018年10月);</w:t>
      </w:r>
    </w:p>
    <w:p w14:paraId="78AA6C73">
      <w:pPr>
        <w:spacing w:before="183" w:line="219" w:lineRule="auto"/>
        <w:ind w:left="600"/>
        <w:rPr>
          <w:rFonts w:ascii="宋体" w:hAnsi="宋体" w:eastAsia="宋体" w:cs="宋体"/>
          <w:sz w:val="24"/>
          <w:szCs w:val="24"/>
        </w:rPr>
      </w:pPr>
      <w:r>
        <w:rPr>
          <w:rFonts w:ascii="宋体" w:hAnsi="宋体" w:eastAsia="宋体" w:cs="宋体"/>
          <w:spacing w:val="13"/>
          <w:sz w:val="24"/>
          <w:szCs w:val="24"/>
        </w:rPr>
        <w:t>(2)《包头统计年鉴—2017》(包头市统计局编);</w:t>
      </w:r>
    </w:p>
    <w:p w14:paraId="32045380">
      <w:pPr>
        <w:spacing w:before="156" w:line="219" w:lineRule="auto"/>
        <w:ind w:left="600"/>
        <w:rPr>
          <w:rFonts w:ascii="宋体" w:hAnsi="宋体" w:eastAsia="宋体" w:cs="宋体"/>
          <w:sz w:val="26"/>
          <w:szCs w:val="26"/>
        </w:rPr>
      </w:pPr>
      <w:r>
        <w:rPr>
          <w:rFonts w:ascii="宋体" w:hAnsi="宋体" w:eastAsia="宋体" w:cs="宋体"/>
          <w:spacing w:val="-4"/>
          <w:sz w:val="26"/>
          <w:szCs w:val="26"/>
        </w:rPr>
        <w:t>(3)内蒙古自治区水资源公报(内蒙古自治区水利厅);</w:t>
      </w:r>
    </w:p>
    <w:p w14:paraId="1A3C54EA">
      <w:pPr>
        <w:spacing w:line="219" w:lineRule="auto"/>
        <w:rPr>
          <w:rFonts w:ascii="宋体" w:hAnsi="宋体" w:eastAsia="宋体" w:cs="宋体"/>
          <w:sz w:val="26"/>
          <w:szCs w:val="26"/>
        </w:rPr>
        <w:sectPr>
          <w:footerReference r:id="rId63" w:type="default"/>
          <w:pgSz w:w="11910" w:h="16850"/>
          <w:pgMar w:top="1432" w:right="1786" w:bottom="1355" w:left="1660" w:header="0" w:footer="1193" w:gutter="0"/>
          <w:cols w:space="720" w:num="1"/>
        </w:sectPr>
      </w:pPr>
    </w:p>
    <w:p w14:paraId="0BFDAA43">
      <w:pPr>
        <w:spacing w:before="48" w:line="219" w:lineRule="auto"/>
        <w:ind w:left="550"/>
        <w:rPr>
          <w:rFonts w:ascii="宋体" w:hAnsi="宋体" w:eastAsia="宋体" w:cs="宋体"/>
          <w:sz w:val="24"/>
          <w:szCs w:val="24"/>
        </w:rPr>
      </w:pPr>
      <w:r>
        <w:rPr>
          <w:rFonts w:ascii="宋体" w:hAnsi="宋体" w:eastAsia="宋体" w:cs="宋体"/>
          <w:spacing w:val="2"/>
          <w:sz w:val="24"/>
          <w:szCs w:val="24"/>
        </w:rPr>
        <w:t>(18)  《国家突发公共事件总体应急预案》(2006.1)</w:t>
      </w:r>
    </w:p>
    <w:p w14:paraId="4177A087">
      <w:pPr>
        <w:spacing w:before="175" w:line="219" w:lineRule="auto"/>
        <w:ind w:left="550"/>
        <w:rPr>
          <w:rFonts w:ascii="宋体" w:hAnsi="宋体" w:eastAsia="宋体" w:cs="宋体"/>
          <w:sz w:val="24"/>
          <w:szCs w:val="24"/>
        </w:rPr>
      </w:pPr>
      <w:r>
        <w:rPr>
          <w:rFonts w:ascii="宋体" w:hAnsi="宋体" w:eastAsia="宋体" w:cs="宋体"/>
          <w:spacing w:val="2"/>
          <w:sz w:val="24"/>
          <w:szCs w:val="24"/>
        </w:rPr>
        <w:t>(19)  《国家突发环境事件应急预案》(2014.12)</w:t>
      </w:r>
    </w:p>
    <w:p w14:paraId="5118FA21">
      <w:pPr>
        <w:spacing w:before="173" w:line="218" w:lineRule="auto"/>
        <w:ind w:left="550"/>
        <w:rPr>
          <w:rFonts w:ascii="宋体" w:hAnsi="宋体" w:eastAsia="宋体" w:cs="宋体"/>
          <w:sz w:val="24"/>
          <w:szCs w:val="24"/>
        </w:rPr>
      </w:pPr>
      <w:r>
        <w:rPr>
          <w:rFonts w:ascii="宋体" w:hAnsi="宋体" w:eastAsia="宋体" w:cs="宋体"/>
          <w:spacing w:val="11"/>
          <w:sz w:val="24"/>
          <w:szCs w:val="24"/>
        </w:rPr>
        <w:t>(20)《突发环境事件信息报告办法》(2011.5)</w:t>
      </w:r>
    </w:p>
    <w:p w14:paraId="1B1B07F6">
      <w:pPr>
        <w:spacing w:before="178" w:line="219" w:lineRule="auto"/>
        <w:ind w:left="550"/>
        <w:rPr>
          <w:rFonts w:ascii="宋体" w:hAnsi="宋体" w:eastAsia="宋体" w:cs="宋体"/>
          <w:sz w:val="24"/>
          <w:szCs w:val="24"/>
        </w:rPr>
      </w:pPr>
      <w:r>
        <w:rPr>
          <w:rFonts w:ascii="宋体" w:hAnsi="宋体" w:eastAsia="宋体" w:cs="宋体"/>
          <w:spacing w:val="11"/>
          <w:sz w:val="24"/>
          <w:szCs w:val="24"/>
        </w:rPr>
        <w:t>(21)《突发环境事件调查处理办法》(2015.3)</w:t>
      </w:r>
    </w:p>
    <w:p w14:paraId="4B7250C9">
      <w:pPr>
        <w:spacing w:before="185" w:line="219" w:lineRule="auto"/>
        <w:ind w:left="550"/>
        <w:rPr>
          <w:rFonts w:ascii="宋体" w:hAnsi="宋体" w:eastAsia="宋体" w:cs="宋体"/>
          <w:sz w:val="24"/>
          <w:szCs w:val="24"/>
        </w:rPr>
      </w:pPr>
      <w:r>
        <w:rPr>
          <w:rFonts w:ascii="宋体" w:hAnsi="宋体" w:eastAsia="宋体" w:cs="宋体"/>
          <w:spacing w:val="11"/>
          <w:sz w:val="24"/>
          <w:szCs w:val="24"/>
        </w:rPr>
        <w:t>(22)《突发环境事件应急管理办法》(2015.6)</w:t>
      </w:r>
    </w:p>
    <w:p w14:paraId="5BC9CD08">
      <w:pPr>
        <w:spacing w:before="173" w:line="219" w:lineRule="auto"/>
        <w:ind w:left="550"/>
        <w:rPr>
          <w:rFonts w:ascii="宋体" w:hAnsi="宋体" w:eastAsia="宋体" w:cs="宋体"/>
          <w:sz w:val="24"/>
          <w:szCs w:val="24"/>
        </w:rPr>
      </w:pPr>
      <w:r>
        <w:rPr>
          <w:rFonts w:ascii="宋体" w:hAnsi="宋体" w:eastAsia="宋体" w:cs="宋体"/>
          <w:spacing w:val="12"/>
          <w:sz w:val="24"/>
          <w:szCs w:val="24"/>
        </w:rPr>
        <w:t>(23)《城市供水水质管理规定》(2007.5)</w:t>
      </w:r>
    </w:p>
    <w:p w14:paraId="52A77A67">
      <w:pPr>
        <w:spacing w:before="177" w:line="219" w:lineRule="auto"/>
        <w:ind w:left="550"/>
        <w:rPr>
          <w:rFonts w:ascii="宋体" w:hAnsi="宋体" w:eastAsia="宋体" w:cs="宋体"/>
          <w:sz w:val="24"/>
          <w:szCs w:val="24"/>
        </w:rPr>
      </w:pPr>
      <w:r>
        <w:rPr>
          <w:rFonts w:ascii="宋体" w:hAnsi="宋体" w:eastAsia="宋体" w:cs="宋体"/>
          <w:spacing w:val="11"/>
          <w:sz w:val="24"/>
          <w:szCs w:val="24"/>
        </w:rPr>
        <w:t>(24)《生活饮用水卫生监督管理办法》(1996.7)</w:t>
      </w:r>
    </w:p>
    <w:p w14:paraId="55D8AFA5">
      <w:pPr>
        <w:spacing w:before="175" w:line="219" w:lineRule="auto"/>
        <w:ind w:left="550"/>
        <w:rPr>
          <w:rFonts w:ascii="宋体" w:hAnsi="宋体" w:eastAsia="宋体" w:cs="宋体"/>
          <w:sz w:val="24"/>
          <w:szCs w:val="24"/>
        </w:rPr>
      </w:pPr>
      <w:r>
        <w:rPr>
          <w:rFonts w:ascii="宋体" w:hAnsi="宋体" w:eastAsia="宋体" w:cs="宋体"/>
          <w:spacing w:val="2"/>
          <w:sz w:val="24"/>
          <w:szCs w:val="24"/>
        </w:rPr>
        <w:t>(25)  《国家安全生产事故灾难应急预案》(2006.1)</w:t>
      </w:r>
    </w:p>
    <w:p w14:paraId="72F7ACB5">
      <w:pPr>
        <w:spacing w:before="176" w:line="219" w:lineRule="auto"/>
        <w:ind w:left="550"/>
        <w:rPr>
          <w:rFonts w:ascii="宋体" w:hAnsi="宋体" w:eastAsia="宋体" w:cs="宋体"/>
          <w:sz w:val="24"/>
          <w:szCs w:val="24"/>
        </w:rPr>
      </w:pPr>
      <w:r>
        <w:rPr>
          <w:rFonts w:ascii="宋体" w:hAnsi="宋体" w:eastAsia="宋体" w:cs="宋体"/>
          <w:spacing w:val="5"/>
          <w:sz w:val="24"/>
          <w:szCs w:val="24"/>
        </w:rPr>
        <w:t>(26)《</w:t>
      </w:r>
      <w:r>
        <w:rPr>
          <w:rFonts w:ascii="宋体" w:hAnsi="宋体" w:eastAsia="宋体" w:cs="宋体"/>
          <w:spacing w:val="50"/>
          <w:sz w:val="24"/>
          <w:szCs w:val="24"/>
        </w:rPr>
        <w:t xml:space="preserve"> </w:t>
      </w:r>
      <w:r>
        <w:rPr>
          <w:rFonts w:ascii="宋体" w:hAnsi="宋体" w:eastAsia="宋体" w:cs="宋体"/>
          <w:spacing w:val="5"/>
          <w:sz w:val="24"/>
          <w:szCs w:val="24"/>
        </w:rPr>
        <w:t>突发环境事件应急监测技术规范》(2011.1)</w:t>
      </w:r>
    </w:p>
    <w:p w14:paraId="58EF146A">
      <w:pPr>
        <w:spacing w:before="228" w:line="212" w:lineRule="auto"/>
        <w:ind w:left="550"/>
        <w:rPr>
          <w:rFonts w:ascii="Times New Roman" w:hAnsi="Times New Roman" w:eastAsia="Times New Roman" w:cs="Times New Roman"/>
          <w:sz w:val="24"/>
          <w:szCs w:val="24"/>
        </w:rPr>
      </w:pPr>
      <w:r>
        <w:rPr>
          <w:rFonts w:ascii="宋体" w:hAnsi="宋体" w:eastAsia="宋体" w:cs="宋体"/>
          <w:spacing w:val="-2"/>
          <w:sz w:val="24"/>
          <w:szCs w:val="24"/>
        </w:rPr>
        <w:t>(27)《</w:t>
      </w:r>
      <w:r>
        <w:rPr>
          <w:rFonts w:ascii="宋体" w:hAnsi="宋体" w:eastAsia="宋体" w:cs="宋体"/>
          <w:spacing w:val="-38"/>
          <w:sz w:val="24"/>
          <w:szCs w:val="24"/>
        </w:rPr>
        <w:t xml:space="preserve"> </w:t>
      </w:r>
      <w:r>
        <w:rPr>
          <w:rFonts w:ascii="宋体" w:hAnsi="宋体" w:eastAsia="宋体" w:cs="宋体"/>
          <w:spacing w:val="-2"/>
          <w:sz w:val="24"/>
          <w:szCs w:val="24"/>
        </w:rPr>
        <w:t xml:space="preserve">集中式饮用水水源地环境保护状况评估技术规范》 </w:t>
      </w:r>
      <w:r>
        <w:rPr>
          <w:rFonts w:ascii="Times New Roman" w:hAnsi="Times New Roman" w:eastAsia="Times New Roman" w:cs="Times New Roman"/>
          <w:color w:val="606070"/>
          <w:spacing w:val="-2"/>
          <w:sz w:val="24"/>
          <w:szCs w:val="24"/>
        </w:rPr>
        <w:t>(HJ774—20</w:t>
      </w:r>
      <w:r>
        <w:rPr>
          <w:rFonts w:ascii="Times New Roman" w:hAnsi="Times New Roman" w:eastAsia="Times New Roman" w:cs="Times New Roman"/>
          <w:color w:val="606070"/>
          <w:spacing w:val="-3"/>
          <w:sz w:val="24"/>
          <w:szCs w:val="24"/>
        </w:rPr>
        <w:t>15)</w:t>
      </w:r>
    </w:p>
    <w:p w14:paraId="38359B44">
      <w:pPr>
        <w:spacing w:before="184" w:line="212" w:lineRule="auto"/>
        <w:ind w:left="550"/>
        <w:rPr>
          <w:rFonts w:ascii="Times New Roman" w:hAnsi="Times New Roman" w:eastAsia="Times New Roman" w:cs="Times New Roman"/>
          <w:sz w:val="24"/>
          <w:szCs w:val="24"/>
        </w:rPr>
      </w:pPr>
      <w:r>
        <w:rPr>
          <w:rFonts w:ascii="宋体" w:hAnsi="宋体" w:eastAsia="宋体" w:cs="宋体"/>
          <w:spacing w:val="-6"/>
          <w:sz w:val="24"/>
          <w:szCs w:val="24"/>
        </w:rPr>
        <w:t>(28)《集中式饮用水水源地规范化建设环境保护</w:t>
      </w:r>
      <w:r>
        <w:rPr>
          <w:rFonts w:ascii="宋体" w:hAnsi="宋体" w:eastAsia="宋体" w:cs="宋体"/>
          <w:spacing w:val="-7"/>
          <w:sz w:val="24"/>
          <w:szCs w:val="24"/>
        </w:rPr>
        <w:t>技术要求》(</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HJ773—2015)</w:t>
      </w:r>
    </w:p>
    <w:p w14:paraId="13E80DF5">
      <w:pPr>
        <w:spacing w:before="222" w:line="219" w:lineRule="auto"/>
        <w:ind w:left="550"/>
        <w:rPr>
          <w:rFonts w:ascii="宋体" w:hAnsi="宋体" w:eastAsia="宋体" w:cs="宋体"/>
          <w:sz w:val="24"/>
          <w:szCs w:val="24"/>
        </w:rPr>
      </w:pPr>
      <w:r>
        <w:rPr>
          <w:rFonts w:ascii="宋体" w:hAnsi="宋体" w:eastAsia="宋体" w:cs="宋体"/>
          <w:spacing w:val="10"/>
          <w:sz w:val="24"/>
          <w:szCs w:val="24"/>
        </w:rPr>
        <w:t>(29)《突发环境事件应急预案管理暂行办法</w:t>
      </w:r>
      <w:r>
        <w:rPr>
          <w:rFonts w:ascii="宋体" w:hAnsi="宋体" w:eastAsia="宋体" w:cs="宋体"/>
          <w:spacing w:val="9"/>
          <w:sz w:val="24"/>
          <w:szCs w:val="24"/>
        </w:rPr>
        <w:t>》(2010.9)</w:t>
      </w:r>
    </w:p>
    <w:p w14:paraId="5D82725D">
      <w:pPr>
        <w:spacing w:before="173" w:line="218" w:lineRule="auto"/>
        <w:ind w:left="550"/>
        <w:rPr>
          <w:rFonts w:ascii="宋体" w:hAnsi="宋体" w:eastAsia="宋体" w:cs="宋体"/>
          <w:sz w:val="24"/>
          <w:szCs w:val="24"/>
        </w:rPr>
      </w:pPr>
      <w:r>
        <w:rPr>
          <w:rFonts w:ascii="宋体" w:hAnsi="宋体" w:eastAsia="宋体" w:cs="宋体"/>
          <w:spacing w:val="10"/>
          <w:sz w:val="24"/>
          <w:szCs w:val="24"/>
        </w:rPr>
        <w:t>(30)《行政区域突发环境事件风险评估推荐</w:t>
      </w:r>
      <w:r>
        <w:rPr>
          <w:rFonts w:ascii="宋体" w:hAnsi="宋体" w:eastAsia="宋体" w:cs="宋体"/>
          <w:spacing w:val="9"/>
          <w:sz w:val="24"/>
          <w:szCs w:val="24"/>
        </w:rPr>
        <w:t>方法》(2018.1)</w:t>
      </w:r>
    </w:p>
    <w:p w14:paraId="33E627A1">
      <w:pPr>
        <w:spacing w:before="179" w:line="219" w:lineRule="auto"/>
        <w:ind w:left="550"/>
        <w:rPr>
          <w:rFonts w:ascii="宋体" w:hAnsi="宋体" w:eastAsia="宋体" w:cs="宋体"/>
          <w:sz w:val="24"/>
          <w:szCs w:val="24"/>
        </w:rPr>
      </w:pPr>
      <w:r>
        <w:rPr>
          <w:rFonts w:ascii="宋体" w:hAnsi="宋体" w:eastAsia="宋体" w:cs="宋体"/>
          <w:spacing w:val="19"/>
          <w:sz w:val="24"/>
          <w:szCs w:val="24"/>
        </w:rPr>
        <w:t>(31)《集中式饮用水水源环境保护指南(试行)》(</w:t>
      </w:r>
      <w:r>
        <w:rPr>
          <w:rFonts w:ascii="宋体" w:hAnsi="宋体" w:eastAsia="宋体" w:cs="宋体"/>
          <w:spacing w:val="18"/>
          <w:sz w:val="24"/>
          <w:szCs w:val="24"/>
        </w:rPr>
        <w:t>2012.3);</w:t>
      </w:r>
    </w:p>
    <w:p w14:paraId="238F4A48">
      <w:pPr>
        <w:spacing w:before="173" w:line="218" w:lineRule="auto"/>
        <w:ind w:left="550"/>
        <w:rPr>
          <w:rFonts w:ascii="宋体" w:hAnsi="宋体" w:eastAsia="宋体" w:cs="宋体"/>
          <w:sz w:val="24"/>
          <w:szCs w:val="24"/>
        </w:rPr>
      </w:pPr>
      <w:r>
        <w:rPr>
          <w:rFonts w:ascii="宋体" w:hAnsi="宋体" w:eastAsia="宋体" w:cs="宋体"/>
          <w:spacing w:val="20"/>
          <w:sz w:val="24"/>
          <w:szCs w:val="24"/>
        </w:rPr>
        <w:t>(32)《企业突发环境事件风险评估指南(试行)》(2014);</w:t>
      </w:r>
    </w:p>
    <w:p w14:paraId="0B719242">
      <w:pPr>
        <w:spacing w:before="208" w:line="286" w:lineRule="auto"/>
        <w:ind w:left="109" w:right="110" w:firstLine="440"/>
        <w:rPr>
          <w:rFonts w:ascii="Times New Roman" w:hAnsi="Times New Roman" w:eastAsia="Times New Roman" w:cs="Times New Roman"/>
          <w:sz w:val="24"/>
          <w:szCs w:val="24"/>
        </w:rPr>
      </w:pPr>
      <w:r>
        <w:rPr>
          <w:rFonts w:ascii="宋体" w:hAnsi="宋体" w:eastAsia="宋体" w:cs="宋体"/>
          <w:spacing w:val="24"/>
          <w:sz w:val="24"/>
          <w:szCs w:val="24"/>
        </w:rPr>
        <w:t>(33)《企业事业单位突发环境事件应急预案备</w:t>
      </w:r>
      <w:r>
        <w:rPr>
          <w:rFonts w:ascii="宋体" w:hAnsi="宋体" w:eastAsia="宋体" w:cs="宋体"/>
          <w:spacing w:val="23"/>
          <w:sz w:val="24"/>
          <w:szCs w:val="24"/>
        </w:rPr>
        <w:t>案管理办法(试行)》</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(2015.1);</w:t>
      </w:r>
    </w:p>
    <w:p w14:paraId="76BA9465">
      <w:pPr>
        <w:spacing w:before="240" w:line="219" w:lineRule="auto"/>
        <w:ind w:left="550"/>
        <w:rPr>
          <w:rFonts w:ascii="宋体" w:hAnsi="宋体" w:eastAsia="宋体" w:cs="宋体"/>
          <w:sz w:val="24"/>
          <w:szCs w:val="24"/>
        </w:rPr>
      </w:pPr>
      <w:r>
        <w:rPr>
          <w:rFonts w:ascii="宋体" w:hAnsi="宋体" w:eastAsia="宋体" w:cs="宋体"/>
          <w:spacing w:val="3"/>
          <w:sz w:val="24"/>
          <w:szCs w:val="24"/>
        </w:rPr>
        <w:t>(34)  《企业突发环境事件风险分级办法》(2018);</w:t>
      </w:r>
    </w:p>
    <w:p w14:paraId="7FBA29EC">
      <w:pPr>
        <w:spacing w:before="148" w:line="212" w:lineRule="auto"/>
        <w:ind w:left="550"/>
        <w:rPr>
          <w:rFonts w:ascii="Times New Roman" w:hAnsi="Times New Roman" w:eastAsia="Times New Roman" w:cs="Times New Roman"/>
          <w:sz w:val="24"/>
          <w:szCs w:val="24"/>
        </w:rPr>
      </w:pPr>
      <w:r>
        <w:rPr>
          <w:rFonts w:ascii="宋体" w:hAnsi="宋体" w:eastAsia="宋体" w:cs="宋体"/>
          <w:spacing w:val="-2"/>
          <w:sz w:val="24"/>
          <w:szCs w:val="24"/>
        </w:rPr>
        <w:t>(35)《地下水环境监测技术规范》</w:t>
      </w:r>
      <w:r>
        <w:rPr>
          <w:rFonts w:ascii="宋体" w:hAnsi="宋体" w:eastAsia="宋体" w:cs="宋体"/>
          <w:spacing w:val="86"/>
          <w:sz w:val="24"/>
          <w:szCs w:val="24"/>
        </w:rPr>
        <w:t xml:space="preserve"> </w:t>
      </w:r>
      <w:r>
        <w:rPr>
          <w:rFonts w:ascii="宋体" w:hAnsi="宋体" w:eastAsia="宋体" w:cs="宋体"/>
          <w:spacing w:val="-2"/>
          <w:sz w:val="24"/>
          <w:szCs w:val="24"/>
        </w:rPr>
        <w:t>(</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HJ/T164—2004);</w:t>
      </w:r>
    </w:p>
    <w:p w14:paraId="75237B5A">
      <w:pPr>
        <w:spacing w:before="194" w:line="212" w:lineRule="auto"/>
        <w:ind w:left="550"/>
        <w:rPr>
          <w:rFonts w:ascii="Times New Roman" w:hAnsi="Times New Roman" w:eastAsia="Times New Roman" w:cs="Times New Roman"/>
          <w:sz w:val="24"/>
          <w:szCs w:val="24"/>
        </w:rPr>
      </w:pPr>
      <w:r>
        <w:rPr>
          <w:rFonts w:ascii="宋体" w:hAnsi="宋体" w:eastAsia="宋体" w:cs="宋体"/>
          <w:spacing w:val="-2"/>
          <w:sz w:val="24"/>
          <w:szCs w:val="24"/>
        </w:rPr>
        <w:t>(36)《水质采样技术规范》</w:t>
      </w:r>
      <w:r>
        <w:rPr>
          <w:rFonts w:ascii="宋体" w:hAnsi="宋体" w:eastAsia="宋体" w:cs="宋体"/>
          <w:spacing w:val="82"/>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SL187—96);</w:t>
      </w:r>
    </w:p>
    <w:p w14:paraId="4B902804">
      <w:pPr>
        <w:spacing w:before="205" w:line="212" w:lineRule="auto"/>
        <w:ind w:left="550"/>
        <w:rPr>
          <w:rFonts w:ascii="宋体" w:hAnsi="宋体" w:eastAsia="宋体" w:cs="宋体"/>
          <w:sz w:val="24"/>
          <w:szCs w:val="24"/>
        </w:rPr>
      </w:pPr>
      <w:r>
        <w:rPr>
          <w:rFonts w:ascii="宋体" w:hAnsi="宋体" w:eastAsia="宋体" w:cs="宋体"/>
          <w:spacing w:val="-1"/>
          <w:sz w:val="24"/>
          <w:szCs w:val="24"/>
        </w:rPr>
        <w:t>(37)《地表水和污水监测技术规范》</w:t>
      </w:r>
      <w:r>
        <w:rPr>
          <w:rFonts w:ascii="宋体" w:hAnsi="宋体" w:eastAsia="宋体" w:cs="宋体"/>
          <w:spacing w:val="64"/>
          <w:sz w:val="24"/>
          <w:szCs w:val="24"/>
        </w:rPr>
        <w:t xml:space="preserve"> </w:t>
      </w:r>
      <w:r>
        <w:rPr>
          <w:rFonts w:ascii="宋体" w:hAnsi="宋体" w:eastAsia="宋体" w:cs="宋体"/>
          <w:spacing w:val="-1"/>
          <w:sz w:val="24"/>
          <w:szCs w:val="24"/>
        </w:rPr>
        <w:t>(</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HJ/T91—2002)</w:t>
      </w:r>
      <w:r>
        <w:rPr>
          <w:rFonts w:ascii="宋体" w:hAnsi="宋体" w:eastAsia="宋体" w:cs="宋体"/>
          <w:spacing w:val="-1"/>
          <w:sz w:val="24"/>
          <w:szCs w:val="24"/>
        </w:rPr>
        <w:t>。</w:t>
      </w:r>
    </w:p>
    <w:p w14:paraId="442972B6">
      <w:pPr>
        <w:spacing w:before="218" w:line="219" w:lineRule="auto"/>
        <w:ind w:left="3"/>
        <w:rPr>
          <w:rFonts w:ascii="宋体" w:hAnsi="宋体" w:eastAsia="宋体" w:cs="宋体"/>
          <w:sz w:val="24"/>
          <w:szCs w:val="24"/>
        </w:rPr>
      </w:pPr>
      <w:r>
        <w:rPr>
          <w:rFonts w:ascii="宋体" w:hAnsi="宋体" w:eastAsia="宋体" w:cs="宋体"/>
          <w:b/>
          <w:bCs/>
          <w:spacing w:val="4"/>
          <w:sz w:val="24"/>
          <w:szCs w:val="24"/>
        </w:rPr>
        <w:t>1.2.2政策文件</w:t>
      </w:r>
    </w:p>
    <w:p w14:paraId="7269FFAA">
      <w:pPr>
        <w:spacing w:before="175" w:line="219" w:lineRule="auto"/>
        <w:ind w:left="553"/>
        <w:rPr>
          <w:rFonts w:ascii="宋体" w:hAnsi="宋体" w:eastAsia="宋体" w:cs="宋体"/>
          <w:sz w:val="24"/>
          <w:szCs w:val="24"/>
        </w:rPr>
      </w:pPr>
      <w:r>
        <w:rPr>
          <w:rFonts w:ascii="宋体" w:hAnsi="宋体" w:eastAsia="宋体" w:cs="宋体"/>
          <w:b/>
          <w:bCs/>
          <w:color w:val="606070"/>
          <w:spacing w:val="6"/>
          <w:sz w:val="24"/>
          <w:szCs w:val="24"/>
        </w:rPr>
        <w:t>(1)《国务院关于印发水污染防治行动计划的通知》(国发</w:t>
      </w:r>
      <w:r>
        <w:rPr>
          <w:rFonts w:ascii="宋体" w:hAnsi="宋体" w:eastAsia="宋体" w:cs="宋体"/>
          <w:b/>
          <w:bCs/>
          <w:color w:val="606070"/>
          <w:spacing w:val="5"/>
          <w:sz w:val="24"/>
          <w:szCs w:val="24"/>
        </w:rPr>
        <w:t>(2015)17号);</w:t>
      </w:r>
    </w:p>
    <w:p w14:paraId="7B6ED576">
      <w:pPr>
        <w:spacing w:before="199" w:line="288" w:lineRule="auto"/>
        <w:ind w:right="96" w:firstLine="550"/>
        <w:rPr>
          <w:rFonts w:ascii="宋体" w:hAnsi="宋体" w:eastAsia="宋体" w:cs="宋体"/>
          <w:sz w:val="24"/>
          <w:szCs w:val="24"/>
        </w:rPr>
      </w:pPr>
      <w:r>
        <w:rPr>
          <w:rFonts w:ascii="宋体" w:hAnsi="宋体" w:eastAsia="宋体" w:cs="宋体"/>
          <w:spacing w:val="-5"/>
          <w:sz w:val="24"/>
          <w:szCs w:val="24"/>
        </w:rPr>
        <w:t>(2)《包头市集中式饮用水水源地保护区环境整治方案》(包府办发[2018]51</w:t>
      </w:r>
      <w:r>
        <w:rPr>
          <w:rFonts w:ascii="宋体" w:hAnsi="宋体" w:eastAsia="宋体" w:cs="宋体"/>
          <w:spacing w:val="8"/>
          <w:sz w:val="24"/>
          <w:szCs w:val="24"/>
        </w:rPr>
        <w:t xml:space="preserve"> </w:t>
      </w:r>
      <w:r>
        <w:rPr>
          <w:rFonts w:ascii="宋体" w:hAnsi="宋体" w:eastAsia="宋体" w:cs="宋体"/>
          <w:spacing w:val="-8"/>
          <w:sz w:val="24"/>
          <w:szCs w:val="24"/>
        </w:rPr>
        <w:t>号</w:t>
      </w:r>
      <w:r>
        <w:rPr>
          <w:rFonts w:ascii="宋体" w:hAnsi="宋体" w:eastAsia="宋体" w:cs="宋体"/>
          <w:spacing w:val="-41"/>
          <w:sz w:val="24"/>
          <w:szCs w:val="24"/>
        </w:rPr>
        <w:t xml:space="preserve"> </w:t>
      </w:r>
      <w:r>
        <w:rPr>
          <w:rFonts w:ascii="宋体" w:hAnsi="宋体" w:eastAsia="宋体" w:cs="宋体"/>
          <w:spacing w:val="-8"/>
          <w:sz w:val="24"/>
          <w:szCs w:val="24"/>
        </w:rPr>
        <w:t>) ;</w:t>
      </w:r>
    </w:p>
    <w:p w14:paraId="5445F6CA">
      <w:pPr>
        <w:spacing w:before="177" w:line="292" w:lineRule="auto"/>
        <w:ind w:right="111" w:firstLine="550"/>
        <w:rPr>
          <w:rFonts w:ascii="宋体" w:hAnsi="宋体" w:eastAsia="宋体" w:cs="宋体"/>
          <w:sz w:val="24"/>
          <w:szCs w:val="24"/>
        </w:rPr>
      </w:pPr>
      <w:r>
        <w:rPr>
          <w:rFonts w:ascii="宋体" w:hAnsi="宋体" w:eastAsia="宋体" w:cs="宋体"/>
          <w:spacing w:val="4"/>
          <w:sz w:val="24"/>
          <w:szCs w:val="24"/>
        </w:rPr>
        <w:t>(3)生态环境部《关于答复全国集中式</w:t>
      </w:r>
      <w:r>
        <w:rPr>
          <w:rFonts w:ascii="宋体" w:hAnsi="宋体" w:eastAsia="宋体" w:cs="宋体"/>
          <w:b/>
          <w:bCs/>
          <w:spacing w:val="4"/>
          <w:sz w:val="24"/>
          <w:szCs w:val="24"/>
        </w:rPr>
        <w:t>饮用</w:t>
      </w:r>
      <w:r>
        <w:rPr>
          <w:rFonts w:ascii="宋体" w:hAnsi="宋体" w:eastAsia="宋体" w:cs="宋体"/>
          <w:b/>
          <w:bCs/>
          <w:spacing w:val="3"/>
          <w:sz w:val="24"/>
          <w:szCs w:val="24"/>
        </w:rPr>
        <w:t>水水源地环境保护专项行动有</w:t>
      </w:r>
      <w:r>
        <w:rPr>
          <w:rFonts w:ascii="宋体" w:hAnsi="宋体" w:eastAsia="宋体" w:cs="宋体"/>
          <w:sz w:val="24"/>
          <w:szCs w:val="24"/>
        </w:rPr>
        <w:t xml:space="preserve"> </w:t>
      </w:r>
      <w:r>
        <w:rPr>
          <w:rFonts w:ascii="宋体" w:hAnsi="宋体" w:eastAsia="宋体" w:cs="宋体"/>
          <w:spacing w:val="5"/>
          <w:sz w:val="24"/>
          <w:szCs w:val="24"/>
        </w:rPr>
        <w:t>关问题的函》((环办环监函)〔2018〕</w:t>
      </w:r>
      <w:r>
        <w:rPr>
          <w:rFonts w:ascii="宋体" w:hAnsi="宋体" w:eastAsia="宋体" w:cs="宋体"/>
          <w:spacing w:val="4"/>
          <w:sz w:val="24"/>
          <w:szCs w:val="24"/>
        </w:rPr>
        <w:t>767</w:t>
      </w:r>
      <w:r>
        <w:rPr>
          <w:rFonts w:ascii="宋体" w:hAnsi="宋体" w:eastAsia="宋体" w:cs="宋体"/>
          <w:spacing w:val="-24"/>
          <w:sz w:val="24"/>
          <w:szCs w:val="24"/>
        </w:rPr>
        <w:t xml:space="preserve"> </w:t>
      </w:r>
      <w:r>
        <w:rPr>
          <w:rFonts w:ascii="宋体" w:hAnsi="宋体" w:eastAsia="宋体" w:cs="宋体"/>
          <w:spacing w:val="4"/>
          <w:sz w:val="24"/>
          <w:szCs w:val="24"/>
        </w:rPr>
        <w:t>号</w:t>
      </w:r>
      <w:r>
        <w:rPr>
          <w:rFonts w:ascii="宋体" w:hAnsi="宋体" w:eastAsia="宋体" w:cs="宋体"/>
          <w:spacing w:val="-27"/>
          <w:sz w:val="24"/>
          <w:szCs w:val="24"/>
        </w:rPr>
        <w:t xml:space="preserve"> </w:t>
      </w:r>
      <w:r>
        <w:rPr>
          <w:rFonts w:ascii="宋体" w:hAnsi="宋体" w:eastAsia="宋体" w:cs="宋体"/>
          <w:spacing w:val="4"/>
          <w:sz w:val="24"/>
          <w:szCs w:val="24"/>
        </w:rPr>
        <w:t>) ;</w:t>
      </w:r>
    </w:p>
    <w:p w14:paraId="3CDA5B77">
      <w:pPr>
        <w:spacing w:before="184" w:line="290" w:lineRule="auto"/>
        <w:ind w:left="139" w:firstLine="410"/>
        <w:rPr>
          <w:rFonts w:ascii="宋体" w:hAnsi="宋体" w:eastAsia="宋体" w:cs="宋体"/>
          <w:sz w:val="24"/>
          <w:szCs w:val="24"/>
        </w:rPr>
      </w:pPr>
      <w:r>
        <w:rPr>
          <w:rFonts w:ascii="宋体" w:hAnsi="宋体" w:eastAsia="宋体" w:cs="宋体"/>
          <w:spacing w:val="-1"/>
          <w:sz w:val="24"/>
          <w:szCs w:val="24"/>
        </w:rPr>
        <w:t>(4)</w:t>
      </w:r>
      <w:r>
        <w:rPr>
          <w:rFonts w:ascii="宋体" w:hAnsi="宋体" w:eastAsia="宋体" w:cs="宋体"/>
          <w:spacing w:val="-57"/>
          <w:sz w:val="24"/>
          <w:szCs w:val="24"/>
        </w:rPr>
        <w:t xml:space="preserve"> </w:t>
      </w:r>
      <w:r>
        <w:rPr>
          <w:rFonts w:ascii="宋体" w:hAnsi="宋体" w:eastAsia="宋体" w:cs="宋体"/>
          <w:spacing w:val="-1"/>
          <w:sz w:val="24"/>
          <w:szCs w:val="24"/>
        </w:rPr>
        <w:t>《石拐区人民政府关于调整石拐区集中式饮用水水源地保护区的请示》</w:t>
      </w:r>
      <w:r>
        <w:rPr>
          <w:rFonts w:ascii="宋体" w:hAnsi="宋体" w:eastAsia="宋体" w:cs="宋体"/>
          <w:sz w:val="24"/>
          <w:szCs w:val="24"/>
        </w:rPr>
        <w:t xml:space="preserve"> </w:t>
      </w:r>
      <w:r>
        <w:rPr>
          <w:rFonts w:ascii="宋体" w:hAnsi="宋体" w:eastAsia="宋体" w:cs="宋体"/>
          <w:spacing w:val="16"/>
          <w:sz w:val="24"/>
          <w:szCs w:val="24"/>
        </w:rPr>
        <w:t>(石府文字〔2018〕5号);</w:t>
      </w:r>
    </w:p>
    <w:p w14:paraId="6C1EBE78">
      <w:pPr>
        <w:spacing w:line="290" w:lineRule="auto"/>
        <w:rPr>
          <w:rFonts w:ascii="宋体" w:hAnsi="宋体" w:eastAsia="宋体" w:cs="宋体"/>
          <w:sz w:val="24"/>
          <w:szCs w:val="24"/>
        </w:rPr>
        <w:sectPr>
          <w:footerReference r:id="rId64" w:type="default"/>
          <w:pgSz w:w="11910" w:h="16850"/>
          <w:pgMar w:top="1371" w:right="1779" w:bottom="1502" w:left="1750" w:header="0" w:footer="1367" w:gutter="0"/>
          <w:cols w:space="720" w:num="1"/>
        </w:sectPr>
      </w:pPr>
    </w:p>
    <w:p w14:paraId="05825ECF">
      <w:pPr>
        <w:spacing w:line="403" w:lineRule="auto"/>
        <w:rPr>
          <w:rFonts w:ascii="Arial"/>
          <w:sz w:val="21"/>
        </w:rPr>
      </w:pPr>
    </w:p>
    <w:p w14:paraId="503F84F4">
      <w:pPr>
        <w:spacing w:before="101" w:line="220" w:lineRule="auto"/>
        <w:rPr>
          <w:rFonts w:ascii="宋体" w:hAnsi="宋体" w:eastAsia="宋体" w:cs="宋体"/>
          <w:sz w:val="31"/>
          <w:szCs w:val="31"/>
        </w:rPr>
      </w:pPr>
      <w:r>
        <w:rPr>
          <w:rFonts w:ascii="宋体" w:hAnsi="宋体" w:eastAsia="宋体" w:cs="宋体"/>
          <w:color w:val="405050"/>
          <w:spacing w:val="-10"/>
          <w:sz w:val="31"/>
          <w:szCs w:val="31"/>
        </w:rPr>
        <w:t>1、</w:t>
      </w:r>
      <w:r>
        <w:rPr>
          <w:rFonts w:ascii="宋体" w:hAnsi="宋体" w:eastAsia="宋体" w:cs="宋体"/>
          <w:b/>
          <w:bCs/>
          <w:color w:val="405050"/>
          <w:spacing w:val="-10"/>
          <w:sz w:val="31"/>
          <w:szCs w:val="31"/>
        </w:rPr>
        <w:t>总则</w:t>
      </w:r>
    </w:p>
    <w:p w14:paraId="5F5CF60F">
      <w:pPr>
        <w:spacing w:before="278" w:line="219" w:lineRule="auto"/>
        <w:rPr>
          <w:rFonts w:ascii="宋体" w:hAnsi="宋体" w:eastAsia="宋体" w:cs="宋体"/>
          <w:sz w:val="28"/>
          <w:szCs w:val="28"/>
        </w:rPr>
      </w:pPr>
      <w:r>
        <w:rPr>
          <w:rFonts w:ascii="宋体" w:hAnsi="宋体" w:eastAsia="宋体" w:cs="宋体"/>
          <w:color w:val="405050"/>
          <w:spacing w:val="9"/>
          <w:sz w:val="28"/>
          <w:szCs w:val="28"/>
        </w:rPr>
        <w:t>1.</w:t>
      </w:r>
      <w:r>
        <w:rPr>
          <w:rFonts w:ascii="宋体" w:hAnsi="宋体" w:eastAsia="宋体" w:cs="宋体"/>
          <w:b/>
          <w:bCs/>
          <w:color w:val="405050"/>
          <w:spacing w:val="9"/>
          <w:sz w:val="28"/>
          <w:szCs w:val="28"/>
        </w:rPr>
        <w:t>1编制目的</w:t>
      </w:r>
    </w:p>
    <w:p w14:paraId="0B52F613">
      <w:pPr>
        <w:spacing w:before="269" w:line="361" w:lineRule="auto"/>
        <w:ind w:right="71" w:firstLine="489"/>
        <w:rPr>
          <w:rFonts w:ascii="宋体" w:hAnsi="宋体" w:eastAsia="宋体" w:cs="宋体"/>
          <w:sz w:val="24"/>
          <w:szCs w:val="24"/>
        </w:rPr>
      </w:pPr>
      <w:r>
        <w:rPr>
          <w:rFonts w:ascii="宋体" w:hAnsi="宋体" w:eastAsia="宋体" w:cs="宋体"/>
          <w:color w:val="405050"/>
          <w:spacing w:val="-2"/>
          <w:sz w:val="24"/>
          <w:szCs w:val="24"/>
        </w:rPr>
        <w:t>对涉及包头市石拐区集中式饮用水水源地的环境风险源、风险防控措施、环</w:t>
      </w:r>
      <w:r>
        <w:rPr>
          <w:rFonts w:ascii="宋体" w:hAnsi="宋体" w:eastAsia="宋体" w:cs="宋体"/>
          <w:color w:val="405050"/>
          <w:spacing w:val="17"/>
          <w:sz w:val="24"/>
          <w:szCs w:val="24"/>
        </w:rPr>
        <w:t xml:space="preserve"> </w:t>
      </w:r>
      <w:r>
        <w:rPr>
          <w:rFonts w:ascii="宋体" w:hAnsi="宋体" w:eastAsia="宋体" w:cs="宋体"/>
          <w:color w:val="405050"/>
          <w:spacing w:val="1"/>
          <w:sz w:val="24"/>
          <w:szCs w:val="24"/>
        </w:rPr>
        <w:t>境安全隐患等进行全面排查，对域内可能发生的典型突发环境事件进行情景分</w:t>
      </w:r>
    </w:p>
    <w:p w14:paraId="2146DED8">
      <w:pPr>
        <w:spacing w:before="1" w:line="217" w:lineRule="auto"/>
        <w:rPr>
          <w:rFonts w:ascii="宋体" w:hAnsi="宋体" w:eastAsia="宋体" w:cs="宋体"/>
          <w:sz w:val="24"/>
          <w:szCs w:val="24"/>
        </w:rPr>
      </w:pPr>
      <w:r>
        <w:rPr>
          <w:rFonts w:ascii="宋体" w:hAnsi="宋体" w:eastAsia="宋体" w:cs="宋体"/>
          <w:color w:val="207050"/>
          <w:spacing w:val="1"/>
          <w:sz w:val="24"/>
          <w:szCs w:val="24"/>
        </w:rPr>
        <w:t>析，进而定性、定量评估水源地突发环境事件的影响。</w:t>
      </w:r>
    </w:p>
    <w:p w14:paraId="6A48758C">
      <w:pPr>
        <w:spacing w:before="167" w:line="354" w:lineRule="auto"/>
        <w:ind w:right="101" w:firstLine="479"/>
        <w:jc w:val="both"/>
        <w:rPr>
          <w:rFonts w:ascii="宋体" w:hAnsi="宋体" w:eastAsia="宋体" w:cs="宋体"/>
          <w:sz w:val="24"/>
          <w:szCs w:val="24"/>
        </w:rPr>
      </w:pPr>
      <w:r>
        <w:rPr>
          <w:rFonts w:ascii="宋体" w:hAnsi="宋体" w:eastAsia="宋体" w:cs="宋体"/>
          <w:color w:val="405050"/>
          <w:spacing w:val="-2"/>
          <w:sz w:val="24"/>
          <w:szCs w:val="24"/>
        </w:rPr>
        <w:t>针对水源地环境风险特征以及存在的风险隐患，从技术、工程和</w:t>
      </w:r>
      <w:r>
        <w:rPr>
          <w:rFonts w:ascii="宋体" w:hAnsi="宋体" w:eastAsia="宋体" w:cs="宋体"/>
          <w:color w:val="405050"/>
          <w:spacing w:val="-3"/>
          <w:sz w:val="24"/>
          <w:szCs w:val="24"/>
        </w:rPr>
        <w:t>管理等方面</w:t>
      </w:r>
      <w:r>
        <w:rPr>
          <w:rFonts w:ascii="宋体" w:hAnsi="宋体" w:eastAsia="宋体" w:cs="宋体"/>
          <w:color w:val="405050"/>
          <w:sz w:val="24"/>
          <w:szCs w:val="24"/>
        </w:rPr>
        <w:t xml:space="preserve"> </w:t>
      </w:r>
      <w:r>
        <w:rPr>
          <w:rFonts w:ascii="宋体" w:hAnsi="宋体" w:eastAsia="宋体" w:cs="宋体"/>
          <w:color w:val="405050"/>
          <w:spacing w:val="-2"/>
          <w:sz w:val="24"/>
          <w:szCs w:val="24"/>
        </w:rPr>
        <w:t>提出科学、可行的突发环境事件风险防范、应急处置措施，为有效对水源地突发</w:t>
      </w:r>
      <w:r>
        <w:rPr>
          <w:rFonts w:ascii="宋体" w:hAnsi="宋体" w:eastAsia="宋体" w:cs="宋体"/>
          <w:color w:val="405050"/>
          <w:sz w:val="24"/>
          <w:szCs w:val="24"/>
        </w:rPr>
        <w:t xml:space="preserve"> </w:t>
      </w:r>
      <w:r>
        <w:rPr>
          <w:rFonts w:ascii="宋体" w:hAnsi="宋体" w:eastAsia="宋体" w:cs="宋体"/>
          <w:color w:val="405050"/>
          <w:spacing w:val="-2"/>
          <w:sz w:val="24"/>
          <w:szCs w:val="24"/>
        </w:rPr>
        <w:t>环境事件，最大程度降低突发环境事件对水源地水质影响，为规范水源地突发环</w:t>
      </w:r>
    </w:p>
    <w:p w14:paraId="12182709">
      <w:pPr>
        <w:spacing w:before="1" w:line="218" w:lineRule="auto"/>
        <w:rPr>
          <w:rFonts w:ascii="宋体" w:hAnsi="宋体" w:eastAsia="宋体" w:cs="宋体"/>
          <w:sz w:val="24"/>
          <w:szCs w:val="24"/>
        </w:rPr>
      </w:pPr>
      <w:r>
        <w:rPr>
          <w:rFonts w:ascii="宋体" w:hAnsi="宋体" w:eastAsia="宋体" w:cs="宋体"/>
          <w:color w:val="506070"/>
          <w:spacing w:val="-2"/>
          <w:sz w:val="24"/>
          <w:szCs w:val="24"/>
        </w:rPr>
        <w:t>境事件应对的各项工作提供指导。</w:t>
      </w:r>
    </w:p>
    <w:p w14:paraId="695DB625">
      <w:pPr>
        <w:spacing w:before="203" w:line="219" w:lineRule="auto"/>
        <w:rPr>
          <w:rFonts w:ascii="宋体" w:hAnsi="宋体" w:eastAsia="宋体" w:cs="宋体"/>
          <w:sz w:val="31"/>
          <w:szCs w:val="31"/>
        </w:rPr>
      </w:pPr>
      <w:r>
        <w:rPr>
          <w:rFonts w:ascii="宋体" w:hAnsi="宋体" w:eastAsia="宋体" w:cs="宋体"/>
          <w:color w:val="405050"/>
          <w:spacing w:val="-14"/>
          <w:sz w:val="31"/>
          <w:szCs w:val="31"/>
        </w:rPr>
        <w:t>1.</w:t>
      </w:r>
      <w:r>
        <w:rPr>
          <w:rFonts w:ascii="宋体" w:hAnsi="宋体" w:eastAsia="宋体" w:cs="宋体"/>
          <w:b/>
          <w:bCs/>
          <w:color w:val="405050"/>
          <w:spacing w:val="-14"/>
          <w:sz w:val="31"/>
          <w:szCs w:val="31"/>
        </w:rPr>
        <w:t>2编制依据</w:t>
      </w:r>
    </w:p>
    <w:p w14:paraId="651CF5BC">
      <w:pPr>
        <w:spacing w:before="231" w:line="219" w:lineRule="auto"/>
        <w:ind w:left="3"/>
        <w:rPr>
          <w:rFonts w:ascii="宋体" w:hAnsi="宋体" w:eastAsia="宋体" w:cs="宋体"/>
          <w:sz w:val="26"/>
          <w:szCs w:val="26"/>
        </w:rPr>
      </w:pPr>
      <w:r>
        <w:rPr>
          <w:rFonts w:ascii="宋体" w:hAnsi="宋体" w:eastAsia="宋体" w:cs="宋体"/>
          <w:b/>
          <w:bCs/>
          <w:color w:val="405050"/>
          <w:spacing w:val="-14"/>
          <w:sz w:val="26"/>
          <w:szCs w:val="26"/>
        </w:rPr>
        <w:t>1.2.1法律依据及规范性文件</w:t>
      </w:r>
    </w:p>
    <w:p w14:paraId="08B3619A">
      <w:pPr>
        <w:spacing w:before="196" w:line="219" w:lineRule="auto"/>
        <w:ind w:left="570"/>
        <w:rPr>
          <w:rFonts w:ascii="宋体" w:hAnsi="宋体" w:eastAsia="宋体" w:cs="宋体"/>
          <w:sz w:val="24"/>
          <w:szCs w:val="24"/>
        </w:rPr>
      </w:pPr>
      <w:r>
        <w:rPr>
          <w:rFonts w:ascii="宋体" w:hAnsi="宋体" w:eastAsia="宋体" w:cs="宋体"/>
          <w:color w:val="405050"/>
          <w:spacing w:val="14"/>
          <w:sz w:val="24"/>
          <w:szCs w:val="24"/>
        </w:rPr>
        <w:t>(1)《中华人民共和国环境保护法》(2015.01);</w:t>
      </w:r>
    </w:p>
    <w:p w14:paraId="352ED1EA">
      <w:pPr>
        <w:spacing w:before="176" w:line="219" w:lineRule="auto"/>
        <w:ind w:left="570"/>
        <w:rPr>
          <w:rFonts w:ascii="宋体" w:hAnsi="宋体" w:eastAsia="宋体" w:cs="宋体"/>
          <w:sz w:val="24"/>
          <w:szCs w:val="24"/>
        </w:rPr>
      </w:pPr>
      <w:r>
        <w:rPr>
          <w:rFonts w:ascii="宋体" w:hAnsi="宋体" w:eastAsia="宋体" w:cs="宋体"/>
          <w:color w:val="405050"/>
          <w:spacing w:val="15"/>
          <w:sz w:val="24"/>
          <w:szCs w:val="24"/>
        </w:rPr>
        <w:t>(2)《中华人民共和国水污染防治法》(20</w:t>
      </w:r>
      <w:r>
        <w:rPr>
          <w:rFonts w:ascii="宋体" w:hAnsi="宋体" w:eastAsia="宋体" w:cs="宋体"/>
          <w:color w:val="405050"/>
          <w:spacing w:val="14"/>
          <w:sz w:val="24"/>
          <w:szCs w:val="24"/>
        </w:rPr>
        <w:t>18.1);</w:t>
      </w:r>
    </w:p>
    <w:p w14:paraId="6F29423F">
      <w:pPr>
        <w:spacing w:before="185" w:line="219" w:lineRule="auto"/>
        <w:ind w:left="570"/>
        <w:rPr>
          <w:rFonts w:ascii="宋体" w:hAnsi="宋体" w:eastAsia="宋体" w:cs="宋体"/>
          <w:sz w:val="24"/>
          <w:szCs w:val="24"/>
        </w:rPr>
      </w:pPr>
      <w:r>
        <w:rPr>
          <w:rFonts w:ascii="宋体" w:hAnsi="宋体" w:eastAsia="宋体" w:cs="宋体"/>
          <w:color w:val="405050"/>
          <w:spacing w:val="16"/>
          <w:sz w:val="24"/>
          <w:szCs w:val="24"/>
        </w:rPr>
        <w:t>(3)《中华人民共和国水法》(2016.9);</w:t>
      </w:r>
    </w:p>
    <w:p w14:paraId="571FCD90">
      <w:pPr>
        <w:spacing w:before="185" w:line="219" w:lineRule="auto"/>
        <w:ind w:left="570"/>
        <w:rPr>
          <w:rFonts w:ascii="宋体" w:hAnsi="宋体" w:eastAsia="宋体" w:cs="宋体"/>
          <w:sz w:val="24"/>
          <w:szCs w:val="24"/>
        </w:rPr>
      </w:pPr>
      <w:r>
        <w:rPr>
          <w:rFonts w:ascii="宋体" w:hAnsi="宋体" w:eastAsia="宋体" w:cs="宋体"/>
          <w:color w:val="405050"/>
          <w:spacing w:val="8"/>
          <w:sz w:val="24"/>
          <w:szCs w:val="24"/>
        </w:rPr>
        <w:t>(4)《中华人民共和国固体废物污染环境防治法(</w:t>
      </w:r>
      <w:r>
        <w:rPr>
          <w:rFonts w:ascii="宋体" w:hAnsi="宋体" w:eastAsia="宋体" w:cs="宋体"/>
          <w:color w:val="405050"/>
          <w:spacing w:val="7"/>
          <w:sz w:val="24"/>
          <w:szCs w:val="24"/>
        </w:rPr>
        <w:t>修订草案)》(2019.6);</w:t>
      </w:r>
    </w:p>
    <w:p w14:paraId="6F518637">
      <w:pPr>
        <w:spacing w:before="166" w:line="219" w:lineRule="auto"/>
        <w:ind w:left="570"/>
        <w:rPr>
          <w:rFonts w:ascii="宋体" w:hAnsi="宋体" w:eastAsia="宋体" w:cs="宋体"/>
          <w:sz w:val="24"/>
          <w:szCs w:val="24"/>
        </w:rPr>
      </w:pPr>
      <w:r>
        <w:rPr>
          <w:rFonts w:ascii="宋体" w:hAnsi="宋体" w:eastAsia="宋体" w:cs="宋体"/>
          <w:color w:val="405050"/>
          <w:spacing w:val="11"/>
          <w:sz w:val="24"/>
          <w:szCs w:val="24"/>
        </w:rPr>
        <w:t>(5)《中华人民共和国水土保持法》(2011.03)</w:t>
      </w:r>
    </w:p>
    <w:p w14:paraId="17D5CC45">
      <w:pPr>
        <w:spacing w:before="215" w:line="219" w:lineRule="auto"/>
        <w:ind w:left="570"/>
        <w:rPr>
          <w:rFonts w:ascii="宋体" w:hAnsi="宋体" w:eastAsia="宋体" w:cs="宋体"/>
          <w:sz w:val="24"/>
          <w:szCs w:val="24"/>
        </w:rPr>
      </w:pPr>
      <w:r>
        <w:rPr>
          <w:rFonts w:ascii="宋体" w:hAnsi="宋体" w:eastAsia="宋体" w:cs="宋体"/>
          <w:color w:val="405050"/>
          <w:spacing w:val="12"/>
          <w:sz w:val="24"/>
          <w:szCs w:val="24"/>
        </w:rPr>
        <w:t>(6)《内蒙古自治区环境保护条例》(2012.3.31</w:t>
      </w:r>
      <w:r>
        <w:rPr>
          <w:rFonts w:ascii="宋体" w:hAnsi="宋体" w:eastAsia="宋体" w:cs="宋体"/>
          <w:color w:val="405050"/>
          <w:spacing w:val="-39"/>
          <w:sz w:val="24"/>
          <w:szCs w:val="24"/>
        </w:rPr>
        <w:t xml:space="preserve"> </w:t>
      </w:r>
      <w:r>
        <w:rPr>
          <w:rFonts w:ascii="宋体" w:hAnsi="宋体" w:eastAsia="宋体" w:cs="宋体"/>
          <w:color w:val="405050"/>
          <w:spacing w:val="12"/>
          <w:sz w:val="24"/>
          <w:szCs w:val="24"/>
        </w:rPr>
        <w:t>第四次修正);</w:t>
      </w:r>
    </w:p>
    <w:p w14:paraId="45F36A1A">
      <w:pPr>
        <w:spacing w:before="175" w:line="219" w:lineRule="auto"/>
        <w:ind w:left="570"/>
        <w:rPr>
          <w:rFonts w:ascii="宋体" w:hAnsi="宋体" w:eastAsia="宋体" w:cs="宋体"/>
          <w:sz w:val="24"/>
          <w:szCs w:val="24"/>
        </w:rPr>
      </w:pPr>
      <w:r>
        <w:rPr>
          <w:rFonts w:ascii="宋体" w:hAnsi="宋体" w:eastAsia="宋体" w:cs="宋体"/>
          <w:color w:val="405050"/>
          <w:spacing w:val="22"/>
          <w:sz w:val="24"/>
          <w:szCs w:val="24"/>
        </w:rPr>
        <w:t>(7)《内蒙古自治区饮用水水源保护条例》(2018年1月1日起施行);</w:t>
      </w:r>
    </w:p>
    <w:p w14:paraId="719C1573">
      <w:pPr>
        <w:spacing w:before="185" w:line="219" w:lineRule="auto"/>
        <w:ind w:left="570"/>
        <w:rPr>
          <w:rFonts w:ascii="宋体" w:hAnsi="宋体" w:eastAsia="宋体" w:cs="宋体"/>
          <w:sz w:val="24"/>
          <w:szCs w:val="24"/>
        </w:rPr>
      </w:pPr>
      <w:r>
        <w:rPr>
          <w:rFonts w:ascii="宋体" w:hAnsi="宋体" w:eastAsia="宋体" w:cs="宋体"/>
          <w:color w:val="405050"/>
          <w:spacing w:val="5"/>
          <w:sz w:val="24"/>
          <w:szCs w:val="24"/>
        </w:rPr>
        <w:t>(8)《包头市城市饮用水源保护区污染防治管理办法》;</w:t>
      </w:r>
    </w:p>
    <w:p w14:paraId="6088F40B">
      <w:pPr>
        <w:spacing w:before="176" w:line="219" w:lineRule="auto"/>
        <w:ind w:left="570"/>
        <w:rPr>
          <w:rFonts w:ascii="宋体" w:hAnsi="宋体" w:eastAsia="宋体" w:cs="宋体"/>
          <w:sz w:val="24"/>
          <w:szCs w:val="24"/>
        </w:rPr>
      </w:pPr>
      <w:r>
        <w:rPr>
          <w:rFonts w:ascii="宋体" w:hAnsi="宋体" w:eastAsia="宋体" w:cs="宋体"/>
          <w:color w:val="506070"/>
          <w:spacing w:val="11"/>
          <w:sz w:val="24"/>
          <w:szCs w:val="24"/>
        </w:rPr>
        <w:t>(9)《国务院关于实行最严格水资源管制度的意见》(国发(2012)3号);</w:t>
      </w:r>
    </w:p>
    <w:p w14:paraId="24DBE32A">
      <w:pPr>
        <w:spacing w:before="175" w:line="219" w:lineRule="auto"/>
        <w:ind w:left="570"/>
        <w:rPr>
          <w:rFonts w:ascii="宋体" w:hAnsi="宋体" w:eastAsia="宋体" w:cs="宋体"/>
          <w:sz w:val="24"/>
          <w:szCs w:val="24"/>
        </w:rPr>
      </w:pPr>
      <w:r>
        <w:rPr>
          <w:rFonts w:ascii="宋体" w:hAnsi="宋体" w:eastAsia="宋体" w:cs="宋体"/>
          <w:color w:val="405050"/>
          <w:spacing w:val="1"/>
          <w:sz w:val="24"/>
          <w:szCs w:val="24"/>
        </w:rPr>
        <w:t>(10)《国务院关于印发水污染防治行动计划的通知》(国发(2015)17 号);</w:t>
      </w:r>
    </w:p>
    <w:p w14:paraId="68965A0C">
      <w:pPr>
        <w:spacing w:before="175" w:line="219" w:lineRule="auto"/>
        <w:ind w:left="570"/>
        <w:rPr>
          <w:rFonts w:ascii="宋体" w:hAnsi="宋体" w:eastAsia="宋体" w:cs="宋体"/>
          <w:sz w:val="24"/>
          <w:szCs w:val="24"/>
        </w:rPr>
      </w:pPr>
      <w:r>
        <w:rPr>
          <w:rFonts w:ascii="宋体" w:hAnsi="宋体" w:eastAsia="宋体" w:cs="宋体"/>
          <w:color w:val="405050"/>
          <w:spacing w:val="-2"/>
          <w:sz w:val="24"/>
          <w:szCs w:val="24"/>
        </w:rPr>
        <w:t>(11)《水功能区监督管理办法》</w:t>
      </w:r>
      <w:r>
        <w:rPr>
          <w:rFonts w:ascii="宋体" w:hAnsi="宋体" w:eastAsia="宋体" w:cs="宋体"/>
          <w:color w:val="405050"/>
          <w:spacing w:val="72"/>
          <w:sz w:val="24"/>
          <w:szCs w:val="24"/>
        </w:rPr>
        <w:t xml:space="preserve"> </w:t>
      </w:r>
      <w:r>
        <w:rPr>
          <w:rFonts w:ascii="宋体" w:hAnsi="宋体" w:eastAsia="宋体" w:cs="宋体"/>
          <w:color w:val="405050"/>
          <w:spacing w:val="-2"/>
          <w:sz w:val="24"/>
          <w:szCs w:val="24"/>
        </w:rPr>
        <w:t>(2017.02)。</w:t>
      </w:r>
    </w:p>
    <w:p w14:paraId="47784D2B">
      <w:pPr>
        <w:spacing w:before="196" w:line="219" w:lineRule="auto"/>
        <w:ind w:left="570"/>
        <w:rPr>
          <w:rFonts w:ascii="宋体" w:hAnsi="宋体" w:eastAsia="宋体" w:cs="宋体"/>
          <w:sz w:val="24"/>
          <w:szCs w:val="24"/>
        </w:rPr>
      </w:pPr>
      <w:r>
        <w:rPr>
          <w:rFonts w:ascii="宋体" w:hAnsi="宋体" w:eastAsia="宋体" w:cs="宋体"/>
          <w:color w:val="405050"/>
          <w:spacing w:val="15"/>
          <w:sz w:val="24"/>
          <w:szCs w:val="24"/>
        </w:rPr>
        <w:t>(12)《饮用水水源保护区污染防治管理规定》(2010年修改);</w:t>
      </w:r>
    </w:p>
    <w:p w14:paraId="5610FF10">
      <w:pPr>
        <w:spacing w:before="175" w:line="219" w:lineRule="auto"/>
        <w:ind w:left="570"/>
        <w:rPr>
          <w:rFonts w:ascii="宋体" w:hAnsi="宋体" w:eastAsia="宋体" w:cs="宋体"/>
          <w:sz w:val="24"/>
          <w:szCs w:val="24"/>
        </w:rPr>
      </w:pPr>
      <w:r>
        <w:rPr>
          <w:rFonts w:ascii="宋体" w:hAnsi="宋体" w:eastAsia="宋体" w:cs="宋体"/>
          <w:color w:val="405050"/>
          <w:spacing w:val="13"/>
          <w:sz w:val="24"/>
          <w:szCs w:val="24"/>
        </w:rPr>
        <w:t>(13)《中华人民共和国突发事件应对法</w:t>
      </w:r>
      <w:r>
        <w:rPr>
          <w:rFonts w:ascii="宋体" w:hAnsi="宋体" w:eastAsia="宋体" w:cs="宋体"/>
          <w:color w:val="405050"/>
          <w:spacing w:val="12"/>
          <w:sz w:val="24"/>
          <w:szCs w:val="24"/>
        </w:rPr>
        <w:t>》(2007.11);</w:t>
      </w:r>
    </w:p>
    <w:p w14:paraId="563D7DBD">
      <w:pPr>
        <w:spacing w:before="185" w:line="219" w:lineRule="auto"/>
        <w:ind w:left="570"/>
        <w:rPr>
          <w:rFonts w:ascii="宋体" w:hAnsi="宋体" w:eastAsia="宋体" w:cs="宋体"/>
          <w:sz w:val="24"/>
          <w:szCs w:val="24"/>
        </w:rPr>
      </w:pPr>
      <w:r>
        <w:rPr>
          <w:rFonts w:ascii="宋体" w:hAnsi="宋体" w:eastAsia="宋体" w:cs="宋体"/>
          <w:color w:val="405050"/>
          <w:spacing w:val="14"/>
          <w:sz w:val="24"/>
          <w:szCs w:val="24"/>
        </w:rPr>
        <w:t>(14)《危险化学品安全管理条例》(2013.12);</w:t>
      </w:r>
    </w:p>
    <w:p w14:paraId="13DF939A">
      <w:pPr>
        <w:spacing w:before="186" w:line="219" w:lineRule="auto"/>
        <w:ind w:left="570"/>
        <w:rPr>
          <w:rFonts w:ascii="宋体" w:hAnsi="宋体" w:eastAsia="宋体" w:cs="宋体"/>
          <w:sz w:val="24"/>
          <w:szCs w:val="24"/>
        </w:rPr>
      </w:pPr>
      <w:r>
        <w:rPr>
          <w:rFonts w:ascii="宋体" w:hAnsi="宋体" w:eastAsia="宋体" w:cs="宋体"/>
          <w:color w:val="405050"/>
          <w:spacing w:val="12"/>
          <w:sz w:val="24"/>
          <w:szCs w:val="24"/>
        </w:rPr>
        <w:t>(15)《中华人民共和国放射性污染防治法》(2003.10);</w:t>
      </w:r>
    </w:p>
    <w:p w14:paraId="4810D805">
      <w:pPr>
        <w:spacing w:before="145" w:line="219" w:lineRule="auto"/>
        <w:ind w:left="570"/>
        <w:rPr>
          <w:rFonts w:ascii="宋体" w:hAnsi="宋体" w:eastAsia="宋体" w:cs="宋体"/>
          <w:sz w:val="24"/>
          <w:szCs w:val="24"/>
        </w:rPr>
      </w:pPr>
      <w:r>
        <w:rPr>
          <w:rFonts w:ascii="宋体" w:hAnsi="宋体" w:eastAsia="宋体" w:cs="宋体"/>
          <w:color w:val="405050"/>
          <w:spacing w:val="10"/>
          <w:sz w:val="24"/>
          <w:szCs w:val="24"/>
        </w:rPr>
        <w:t>(16)《放射性同位素与射线装置放射防护条例》(</w:t>
      </w:r>
      <w:r>
        <w:rPr>
          <w:rFonts w:ascii="宋体" w:hAnsi="宋体" w:eastAsia="宋体" w:cs="宋体"/>
          <w:color w:val="405050"/>
          <w:spacing w:val="9"/>
          <w:sz w:val="24"/>
          <w:szCs w:val="24"/>
        </w:rPr>
        <w:t>2014.7)</w:t>
      </w:r>
    </w:p>
    <w:p w14:paraId="5881E92B">
      <w:pPr>
        <w:spacing w:before="145" w:line="219" w:lineRule="auto"/>
        <w:ind w:left="570"/>
        <w:rPr>
          <w:rFonts w:ascii="宋体" w:hAnsi="宋体" w:eastAsia="宋体" w:cs="宋体"/>
          <w:sz w:val="24"/>
          <w:szCs w:val="24"/>
        </w:rPr>
      </w:pPr>
      <w:r>
        <w:rPr>
          <w:rFonts w:ascii="宋体" w:hAnsi="宋体" w:eastAsia="宋体" w:cs="宋体"/>
          <w:color w:val="405050"/>
          <w:spacing w:val="12"/>
          <w:sz w:val="24"/>
          <w:szCs w:val="24"/>
        </w:rPr>
        <w:t>(17)《畜禽规模养殖污染防治条例》(2014.1)</w:t>
      </w:r>
    </w:p>
    <w:p w14:paraId="0A9A3E04">
      <w:pPr>
        <w:spacing w:line="219" w:lineRule="auto"/>
        <w:rPr>
          <w:rFonts w:ascii="宋体" w:hAnsi="宋体" w:eastAsia="宋体" w:cs="宋体"/>
          <w:sz w:val="24"/>
          <w:szCs w:val="24"/>
        </w:rPr>
        <w:sectPr>
          <w:footerReference r:id="rId65" w:type="default"/>
          <w:pgSz w:w="11910" w:h="16850"/>
          <w:pgMar w:top="1432" w:right="1786" w:bottom="1342" w:left="1690" w:header="0" w:footer="1207" w:gutter="0"/>
          <w:cols w:space="720" w:num="1"/>
        </w:sectPr>
      </w:pPr>
    </w:p>
    <w:sdt>
      <w:sdtPr>
        <w:rPr>
          <w:rFonts w:ascii="Times New Roman" w:hAnsi="Times New Roman" w:eastAsia="Times New Roman" w:cs="Times New Roman"/>
          <w:sz w:val="26"/>
          <w:szCs w:val="26"/>
        </w:rPr>
        <w:id w:val="147464148"/>
        <w:docPartObj>
          <w:docPartGallery w:val="Table of Contents"/>
          <w:docPartUnique/>
        </w:docPartObj>
      </w:sdtPr>
      <w:sdtEndPr>
        <w:rPr>
          <w:rFonts w:ascii="Arial" w:hAnsi="Arial" w:eastAsia="Arial" w:cs="Arial"/>
          <w:sz w:val="23"/>
          <w:szCs w:val="23"/>
        </w:rPr>
      </w:sdtEndPr>
      <w:sdtContent>
        <w:p w14:paraId="4CE3987F">
          <w:pPr>
            <w:tabs>
              <w:tab w:val="right" w:leader="dot" w:pos="8329"/>
            </w:tabs>
            <w:spacing w:before="51" w:line="221" w:lineRule="auto"/>
            <w:rPr>
              <w:rFonts w:ascii="Arial" w:hAnsi="Arial" w:eastAsia="Arial" w:cs="Arial"/>
              <w:sz w:val="23"/>
              <w:szCs w:val="23"/>
            </w:rPr>
          </w:pPr>
          <w:r>
            <w:rPr>
              <w:rFonts w:ascii="Times New Roman" w:hAnsi="Times New Roman" w:eastAsia="Times New Roman" w:cs="Times New Roman"/>
              <w:b/>
              <w:bCs/>
              <w:spacing w:val="-16"/>
              <w:sz w:val="26"/>
              <w:szCs w:val="26"/>
            </w:rPr>
            <w:t>7</w:t>
          </w:r>
          <w:r>
            <w:rPr>
              <w:rFonts w:ascii="宋体" w:hAnsi="宋体" w:eastAsia="宋体" w:cs="宋体"/>
              <w:b/>
              <w:bCs/>
              <w:spacing w:val="-16"/>
              <w:sz w:val="26"/>
              <w:szCs w:val="26"/>
            </w:rPr>
            <w:t>、结论</w:t>
          </w:r>
          <w:r>
            <w:rPr>
              <w:rFonts w:ascii="宋体" w:hAnsi="宋体" w:eastAsia="宋体" w:cs="宋体"/>
              <w:spacing w:val="-96"/>
              <w:sz w:val="26"/>
              <w:szCs w:val="26"/>
            </w:rPr>
            <w:t xml:space="preserve"> </w:t>
          </w:r>
          <w:r>
            <w:rPr>
              <w:rFonts w:ascii="宋体" w:hAnsi="宋体" w:eastAsia="宋体" w:cs="宋体"/>
              <w:sz w:val="26"/>
              <w:szCs w:val="26"/>
            </w:rPr>
            <w:tab/>
          </w:r>
          <w:r>
            <w:fldChar w:fldCharType="begin"/>
          </w:r>
          <w:r>
            <w:instrText xml:space="preserve"> HYPERLINK \l "bookmark88" </w:instrText>
          </w:r>
          <w:r>
            <w:fldChar w:fldCharType="separate"/>
          </w:r>
          <w:r>
            <w:rPr>
              <w:rFonts w:ascii="Arial" w:hAnsi="Arial" w:eastAsia="Arial" w:cs="Arial"/>
              <w:b/>
              <w:bCs/>
              <w:spacing w:val="-1"/>
              <w:sz w:val="23"/>
              <w:szCs w:val="23"/>
            </w:rPr>
            <w:t>23</w:t>
          </w:r>
          <w:r>
            <w:rPr>
              <w:rFonts w:ascii="Arial" w:hAnsi="Arial" w:eastAsia="Arial" w:cs="Arial"/>
              <w:b/>
              <w:bCs/>
              <w:spacing w:val="-1"/>
              <w:sz w:val="23"/>
              <w:szCs w:val="23"/>
            </w:rPr>
            <w:fldChar w:fldCharType="end"/>
          </w:r>
        </w:p>
        <w:p w14:paraId="5A88BC75">
          <w:pPr>
            <w:tabs>
              <w:tab w:val="right" w:leader="dot" w:pos="8329"/>
            </w:tabs>
            <w:spacing w:before="177" w:line="221" w:lineRule="auto"/>
            <w:ind w:left="489"/>
            <w:rPr>
              <w:rFonts w:ascii="Arial" w:hAnsi="Arial" w:eastAsia="Arial" w:cs="Arial"/>
              <w:sz w:val="23"/>
              <w:szCs w:val="23"/>
            </w:rPr>
          </w:pPr>
          <w:r>
            <w:rPr>
              <w:rFonts w:ascii="Times New Roman" w:hAnsi="Times New Roman" w:eastAsia="Times New Roman" w:cs="Times New Roman"/>
              <w:b/>
              <w:bCs/>
              <w:spacing w:val="-8"/>
              <w:sz w:val="23"/>
              <w:szCs w:val="23"/>
            </w:rPr>
            <w:t>7.1</w:t>
          </w:r>
          <w:r>
            <w:rPr>
              <w:rFonts w:ascii="Times New Roman" w:hAnsi="Times New Roman" w:eastAsia="Times New Roman" w:cs="Times New Roman"/>
              <w:b/>
              <w:bCs/>
              <w:spacing w:val="9"/>
              <w:sz w:val="23"/>
              <w:szCs w:val="23"/>
            </w:rPr>
            <w:t xml:space="preserve">  </w:t>
          </w:r>
          <w:r>
            <w:rPr>
              <w:rFonts w:ascii="宋体" w:hAnsi="宋体" w:eastAsia="宋体" w:cs="宋体"/>
              <w:b/>
              <w:bCs/>
              <w:spacing w:val="-8"/>
              <w:sz w:val="23"/>
              <w:szCs w:val="23"/>
            </w:rPr>
            <w:t>结</w:t>
          </w:r>
          <w:r>
            <w:rPr>
              <w:rFonts w:ascii="宋体" w:hAnsi="宋体" w:eastAsia="宋体" w:cs="宋体"/>
              <w:spacing w:val="-24"/>
              <w:sz w:val="23"/>
              <w:szCs w:val="23"/>
            </w:rPr>
            <w:t xml:space="preserve"> </w:t>
          </w:r>
          <w:r>
            <w:rPr>
              <w:rFonts w:ascii="宋体" w:hAnsi="宋体" w:eastAsia="宋体" w:cs="宋体"/>
              <w:b/>
              <w:bCs/>
              <w:spacing w:val="-8"/>
              <w:sz w:val="23"/>
              <w:szCs w:val="23"/>
            </w:rPr>
            <w:t>论</w:t>
          </w:r>
          <w:r>
            <w:rPr>
              <w:rFonts w:ascii="宋体" w:hAnsi="宋体" w:eastAsia="宋体" w:cs="宋体"/>
              <w:spacing w:val="-93"/>
              <w:sz w:val="23"/>
              <w:szCs w:val="23"/>
            </w:rPr>
            <w:t xml:space="preserve"> </w:t>
          </w:r>
          <w:r>
            <w:rPr>
              <w:rFonts w:ascii="宋体" w:hAnsi="宋体" w:eastAsia="宋体" w:cs="宋体"/>
              <w:sz w:val="23"/>
              <w:szCs w:val="23"/>
            </w:rPr>
            <w:tab/>
          </w:r>
          <w:r>
            <w:fldChar w:fldCharType="begin"/>
          </w:r>
          <w:r>
            <w:instrText xml:space="preserve"> HYPERLINK \l "bookmark89" </w:instrText>
          </w:r>
          <w:r>
            <w:fldChar w:fldCharType="separate"/>
          </w:r>
          <w:r>
            <w:rPr>
              <w:rFonts w:ascii="Arial" w:hAnsi="Arial" w:eastAsia="Arial" w:cs="Arial"/>
              <w:b/>
              <w:bCs/>
              <w:spacing w:val="1"/>
              <w:sz w:val="23"/>
              <w:szCs w:val="23"/>
            </w:rPr>
            <w:t>23</w:t>
          </w:r>
          <w:r>
            <w:rPr>
              <w:rFonts w:ascii="Arial" w:hAnsi="Arial" w:eastAsia="Arial" w:cs="Arial"/>
              <w:b/>
              <w:bCs/>
              <w:spacing w:val="1"/>
              <w:sz w:val="23"/>
              <w:szCs w:val="23"/>
            </w:rPr>
            <w:fldChar w:fldCharType="end"/>
          </w:r>
        </w:p>
        <w:p w14:paraId="5E4150ED">
          <w:pPr>
            <w:tabs>
              <w:tab w:val="right" w:leader="dot" w:pos="8329"/>
            </w:tabs>
            <w:spacing w:before="194" w:line="220" w:lineRule="auto"/>
            <w:ind w:left="489"/>
            <w:rPr>
              <w:rFonts w:ascii="Arial" w:hAnsi="Arial" w:eastAsia="Arial" w:cs="Arial"/>
              <w:sz w:val="23"/>
              <w:szCs w:val="23"/>
            </w:rPr>
          </w:pPr>
          <w:r>
            <w:rPr>
              <w:rFonts w:ascii="Times New Roman" w:hAnsi="Times New Roman" w:eastAsia="Times New Roman" w:cs="Times New Roman"/>
              <w:b/>
              <w:bCs/>
              <w:spacing w:val="-8"/>
              <w:sz w:val="23"/>
              <w:szCs w:val="23"/>
            </w:rPr>
            <w:t>7.2</w:t>
          </w:r>
          <w:r>
            <w:rPr>
              <w:rFonts w:ascii="Times New Roman" w:hAnsi="Times New Roman" w:eastAsia="Times New Roman" w:cs="Times New Roman"/>
              <w:b/>
              <w:bCs/>
              <w:spacing w:val="11"/>
              <w:sz w:val="23"/>
              <w:szCs w:val="23"/>
            </w:rPr>
            <w:t xml:space="preserve">  </w:t>
          </w:r>
          <w:r>
            <w:rPr>
              <w:rFonts w:ascii="宋体" w:hAnsi="宋体" w:eastAsia="宋体" w:cs="宋体"/>
              <w:b/>
              <w:bCs/>
              <w:spacing w:val="-8"/>
              <w:sz w:val="23"/>
              <w:szCs w:val="23"/>
            </w:rPr>
            <w:t>建</w:t>
          </w:r>
          <w:r>
            <w:rPr>
              <w:rFonts w:ascii="宋体" w:hAnsi="宋体" w:eastAsia="宋体" w:cs="宋体"/>
              <w:spacing w:val="-28"/>
              <w:sz w:val="23"/>
              <w:szCs w:val="23"/>
            </w:rPr>
            <w:t xml:space="preserve"> </w:t>
          </w:r>
          <w:r>
            <w:rPr>
              <w:rFonts w:ascii="宋体" w:hAnsi="宋体" w:eastAsia="宋体" w:cs="宋体"/>
              <w:b/>
              <w:bCs/>
              <w:spacing w:val="-8"/>
              <w:sz w:val="23"/>
              <w:szCs w:val="23"/>
            </w:rPr>
            <w:t>议</w:t>
          </w:r>
          <w:r>
            <w:rPr>
              <w:rFonts w:ascii="宋体" w:hAnsi="宋体" w:eastAsia="宋体" w:cs="宋体"/>
              <w:spacing w:val="-93"/>
              <w:sz w:val="23"/>
              <w:szCs w:val="23"/>
            </w:rPr>
            <w:t xml:space="preserve"> </w:t>
          </w:r>
          <w:r>
            <w:rPr>
              <w:rFonts w:ascii="宋体" w:hAnsi="宋体" w:eastAsia="宋体" w:cs="宋体"/>
              <w:sz w:val="23"/>
              <w:szCs w:val="23"/>
            </w:rPr>
            <w:tab/>
          </w:r>
          <w:r>
            <w:fldChar w:fldCharType="begin"/>
          </w:r>
          <w:r>
            <w:instrText xml:space="preserve"> HYPERLINK \l "bookmark76" </w:instrText>
          </w:r>
          <w:r>
            <w:fldChar w:fldCharType="separate"/>
          </w:r>
          <w:r>
            <w:rPr>
              <w:rFonts w:ascii="Arial" w:hAnsi="Arial" w:eastAsia="Arial" w:cs="Arial"/>
              <w:b/>
              <w:bCs/>
              <w:spacing w:val="1"/>
              <w:sz w:val="23"/>
              <w:szCs w:val="23"/>
            </w:rPr>
            <w:t>23</w:t>
          </w:r>
          <w:r>
            <w:rPr>
              <w:rFonts w:ascii="Arial" w:hAnsi="Arial" w:eastAsia="Arial" w:cs="Arial"/>
              <w:b/>
              <w:bCs/>
              <w:spacing w:val="1"/>
              <w:sz w:val="23"/>
              <w:szCs w:val="23"/>
            </w:rPr>
            <w:fldChar w:fldCharType="end"/>
          </w:r>
        </w:p>
      </w:sdtContent>
    </w:sdt>
    <w:p w14:paraId="12C91572">
      <w:pPr>
        <w:spacing w:line="220" w:lineRule="auto"/>
        <w:rPr>
          <w:rFonts w:ascii="Arial" w:hAnsi="Arial" w:eastAsia="Arial" w:cs="Arial"/>
          <w:sz w:val="23"/>
          <w:szCs w:val="23"/>
        </w:rPr>
        <w:sectPr>
          <w:footerReference r:id="rId66" w:type="default"/>
          <w:pgSz w:w="11910" w:h="16850"/>
          <w:pgMar w:top="1346" w:right="1786" w:bottom="400" w:left="1700" w:header="0" w:footer="0" w:gutter="0"/>
          <w:cols w:space="720" w:num="1"/>
        </w:sectPr>
      </w:pPr>
    </w:p>
    <w:p w14:paraId="21152CEA">
      <w:pPr>
        <w:spacing w:line="277" w:lineRule="auto"/>
        <w:rPr>
          <w:rFonts w:ascii="Arial"/>
          <w:sz w:val="21"/>
        </w:rPr>
      </w:pPr>
    </w:p>
    <w:sdt>
      <w:sdtPr>
        <w:rPr>
          <w:rFonts w:ascii="黑体" w:hAnsi="黑体" w:eastAsia="黑体" w:cs="黑体"/>
          <w:sz w:val="34"/>
          <w:szCs w:val="34"/>
        </w:rPr>
        <w:id w:val="147478332"/>
        <w:docPartObj>
          <w:docPartGallery w:val="Table of Contents"/>
          <w:docPartUnique/>
        </w:docPartObj>
      </w:sdtPr>
      <w:sdtEndPr>
        <w:rPr>
          <w:rFonts w:ascii="Arial" w:hAnsi="Arial" w:eastAsia="Arial" w:cs="Arial"/>
          <w:sz w:val="26"/>
          <w:szCs w:val="26"/>
        </w:rPr>
      </w:sdtEndPr>
      <w:sdtContent>
        <w:p w14:paraId="2157EB66">
          <w:pPr>
            <w:spacing w:before="110" w:line="222" w:lineRule="auto"/>
            <w:ind w:left="3939"/>
            <w:rPr>
              <w:rFonts w:ascii="黑体" w:hAnsi="黑体" w:eastAsia="黑体" w:cs="黑体"/>
              <w:sz w:val="34"/>
              <w:szCs w:val="34"/>
            </w:rPr>
          </w:pPr>
          <w:r>
            <w:rPr>
              <w:rFonts w:ascii="黑体" w:hAnsi="黑体" w:eastAsia="黑体" w:cs="黑体"/>
              <w:color w:val="101010"/>
              <w:spacing w:val="-14"/>
              <w:sz w:val="34"/>
              <w:szCs w:val="34"/>
            </w:rPr>
            <w:t>目录</w:t>
          </w:r>
        </w:p>
        <w:p w14:paraId="5ED28107">
          <w:pPr>
            <w:tabs>
              <w:tab w:val="right" w:leader="dot" w:pos="8324"/>
            </w:tabs>
            <w:spacing w:before="215" w:line="211" w:lineRule="auto"/>
            <w:rPr>
              <w:rFonts w:ascii="Arial" w:hAnsi="Arial" w:eastAsia="Arial" w:cs="Arial"/>
              <w:sz w:val="26"/>
              <w:szCs w:val="26"/>
            </w:rPr>
          </w:pPr>
          <w:r>
            <w:rPr>
              <w:rFonts w:ascii="Times New Roman" w:hAnsi="Times New Roman" w:eastAsia="Times New Roman" w:cs="Times New Roman"/>
              <w:b/>
              <w:bCs/>
              <w:spacing w:val="-19"/>
              <w:sz w:val="23"/>
              <w:szCs w:val="23"/>
            </w:rPr>
            <w:t>1</w:t>
          </w:r>
          <w:r>
            <w:rPr>
              <w:rFonts w:ascii="Times New Roman" w:hAnsi="Times New Roman" w:eastAsia="Times New Roman" w:cs="Times New Roman"/>
              <w:b/>
              <w:bCs/>
              <w:spacing w:val="-31"/>
              <w:sz w:val="23"/>
              <w:szCs w:val="23"/>
            </w:rPr>
            <w:t xml:space="preserve"> </w:t>
          </w:r>
          <w:r>
            <w:rPr>
              <w:rFonts w:ascii="宋体" w:hAnsi="宋体" w:eastAsia="宋体" w:cs="宋体"/>
              <w:b/>
              <w:bCs/>
              <w:spacing w:val="-19"/>
              <w:sz w:val="23"/>
              <w:szCs w:val="23"/>
            </w:rPr>
            <w:t>、总</w:t>
          </w:r>
          <w:r>
            <w:rPr>
              <w:rFonts w:ascii="宋体" w:hAnsi="宋体" w:eastAsia="宋体" w:cs="宋体"/>
              <w:spacing w:val="-22"/>
              <w:sz w:val="23"/>
              <w:szCs w:val="23"/>
            </w:rPr>
            <w:t xml:space="preserve"> </w:t>
          </w:r>
          <w:r>
            <w:rPr>
              <w:rFonts w:ascii="宋体" w:hAnsi="宋体" w:eastAsia="宋体" w:cs="宋体"/>
              <w:b/>
              <w:bCs/>
              <w:spacing w:val="-19"/>
              <w:sz w:val="23"/>
              <w:szCs w:val="23"/>
            </w:rPr>
            <w:t>则</w:t>
          </w:r>
          <w:r>
            <w:rPr>
              <w:rFonts w:ascii="宋体" w:hAnsi="宋体" w:eastAsia="宋体" w:cs="宋体"/>
              <w:spacing w:val="-102"/>
              <w:sz w:val="23"/>
              <w:szCs w:val="23"/>
            </w:rPr>
            <w:t xml:space="preserve"> </w:t>
          </w:r>
          <w:r>
            <w:rPr>
              <w:rFonts w:ascii="宋体" w:hAnsi="宋体" w:eastAsia="宋体" w:cs="宋体"/>
              <w:sz w:val="23"/>
              <w:szCs w:val="23"/>
            </w:rPr>
            <w:tab/>
          </w:r>
          <w:r>
            <w:fldChar w:fldCharType="begin"/>
          </w:r>
          <w:r>
            <w:instrText xml:space="preserve"> HYPERLINK \l "bookmark90" </w:instrText>
          </w:r>
          <w:r>
            <w:fldChar w:fldCharType="separate"/>
          </w:r>
          <w:r>
            <w:rPr>
              <w:rFonts w:ascii="Arial" w:hAnsi="Arial" w:eastAsia="Arial" w:cs="Arial"/>
              <w:b/>
              <w:bCs/>
              <w:sz w:val="26"/>
              <w:szCs w:val="26"/>
            </w:rPr>
            <w:t>1</w:t>
          </w:r>
          <w:r>
            <w:rPr>
              <w:rFonts w:ascii="Arial" w:hAnsi="Arial" w:eastAsia="Arial" w:cs="Arial"/>
              <w:b/>
              <w:bCs/>
              <w:sz w:val="26"/>
              <w:szCs w:val="26"/>
            </w:rPr>
            <w:fldChar w:fldCharType="end"/>
          </w:r>
        </w:p>
        <w:p w14:paraId="37442DE2">
          <w:pPr>
            <w:tabs>
              <w:tab w:val="right" w:leader="dot" w:pos="8334"/>
            </w:tabs>
            <w:spacing w:before="196" w:line="219" w:lineRule="auto"/>
            <w:ind w:left="489"/>
            <w:rPr>
              <w:rFonts w:ascii="Arial" w:hAnsi="Arial" w:eastAsia="Arial" w:cs="Arial"/>
              <w:sz w:val="26"/>
              <w:szCs w:val="26"/>
            </w:rPr>
          </w:pPr>
          <w:r>
            <w:rPr>
              <w:rFonts w:ascii="Times New Roman" w:hAnsi="Times New Roman" w:eastAsia="Times New Roman" w:cs="Times New Roman"/>
              <w:b/>
              <w:bCs/>
              <w:spacing w:val="-11"/>
              <w:sz w:val="26"/>
              <w:szCs w:val="26"/>
            </w:rPr>
            <w:t xml:space="preserve">1.1  </w:t>
          </w:r>
          <w:r>
            <w:rPr>
              <w:rFonts w:ascii="宋体" w:hAnsi="宋体" w:eastAsia="宋体" w:cs="宋体"/>
              <w:b/>
              <w:bCs/>
              <w:spacing w:val="-11"/>
              <w:sz w:val="26"/>
              <w:szCs w:val="26"/>
            </w:rPr>
            <w:t>编制目的</w:t>
          </w:r>
          <w:r>
            <w:rPr>
              <w:rFonts w:ascii="宋体" w:hAnsi="宋体" w:eastAsia="宋体" w:cs="宋体"/>
              <w:b/>
              <w:bCs/>
              <w:sz w:val="26"/>
              <w:szCs w:val="26"/>
            </w:rPr>
            <w:tab/>
          </w:r>
          <w:r>
            <w:rPr>
              <w:rFonts w:ascii="宋体" w:hAnsi="宋体" w:eastAsia="宋体" w:cs="宋体"/>
              <w:spacing w:val="-44"/>
              <w:sz w:val="26"/>
              <w:szCs w:val="26"/>
            </w:rPr>
            <w:t xml:space="preserve"> </w:t>
          </w:r>
          <w:r>
            <w:fldChar w:fldCharType="begin"/>
          </w:r>
          <w:r>
            <w:instrText xml:space="preserve"> HYPERLINK \l "bookmark91" </w:instrText>
          </w:r>
          <w:r>
            <w:fldChar w:fldCharType="separate"/>
          </w:r>
          <w:r>
            <w:rPr>
              <w:rFonts w:ascii="Arial" w:hAnsi="Arial" w:eastAsia="Arial" w:cs="Arial"/>
              <w:b/>
              <w:bCs/>
              <w:sz w:val="26"/>
              <w:szCs w:val="26"/>
            </w:rPr>
            <w:t>1</w:t>
          </w:r>
          <w:r>
            <w:rPr>
              <w:rFonts w:ascii="Arial" w:hAnsi="Arial" w:eastAsia="Arial" w:cs="Arial"/>
              <w:b/>
              <w:bCs/>
              <w:sz w:val="26"/>
              <w:szCs w:val="26"/>
            </w:rPr>
            <w:fldChar w:fldCharType="end"/>
          </w:r>
        </w:p>
        <w:p w14:paraId="42B4458F">
          <w:pPr>
            <w:tabs>
              <w:tab w:val="right" w:leader="dot" w:pos="8334"/>
            </w:tabs>
            <w:spacing w:before="119" w:line="219" w:lineRule="auto"/>
            <w:ind w:left="489"/>
            <w:rPr>
              <w:rFonts w:ascii="Arial" w:hAnsi="Arial" w:eastAsia="Arial" w:cs="Arial"/>
              <w:sz w:val="26"/>
              <w:szCs w:val="26"/>
            </w:rPr>
          </w:pPr>
          <w:r>
            <w:rPr>
              <w:rFonts w:ascii="Times New Roman" w:hAnsi="Times New Roman" w:eastAsia="Times New Roman" w:cs="Times New Roman"/>
              <w:b/>
              <w:bCs/>
              <w:spacing w:val="-12"/>
              <w:sz w:val="26"/>
              <w:szCs w:val="26"/>
            </w:rPr>
            <w:t>1.2</w:t>
          </w:r>
          <w:r>
            <w:rPr>
              <w:rFonts w:ascii="Times New Roman" w:hAnsi="Times New Roman" w:eastAsia="Times New Roman" w:cs="Times New Roman"/>
              <w:b/>
              <w:bCs/>
              <w:spacing w:val="43"/>
              <w:sz w:val="26"/>
              <w:szCs w:val="26"/>
            </w:rPr>
            <w:t xml:space="preserve"> </w:t>
          </w:r>
          <w:r>
            <w:rPr>
              <w:rFonts w:ascii="宋体" w:hAnsi="宋体" w:eastAsia="宋体" w:cs="宋体"/>
              <w:b/>
              <w:bCs/>
              <w:spacing w:val="-12"/>
              <w:sz w:val="26"/>
              <w:szCs w:val="26"/>
            </w:rPr>
            <w:t>编制依据</w:t>
          </w:r>
          <w:r>
            <w:rPr>
              <w:rFonts w:ascii="宋体" w:hAnsi="宋体" w:eastAsia="宋体" w:cs="宋体"/>
              <w:spacing w:val="-111"/>
              <w:sz w:val="26"/>
              <w:szCs w:val="26"/>
            </w:rPr>
            <w:t xml:space="preserve"> </w:t>
          </w:r>
          <w:r>
            <w:rPr>
              <w:rFonts w:ascii="宋体" w:hAnsi="宋体" w:eastAsia="宋体" w:cs="宋体"/>
              <w:sz w:val="26"/>
              <w:szCs w:val="26"/>
            </w:rPr>
            <w:tab/>
          </w:r>
          <w:r>
            <w:rPr>
              <w:rFonts w:ascii="宋体" w:hAnsi="宋体" w:eastAsia="宋体" w:cs="宋体"/>
              <w:spacing w:val="-44"/>
              <w:sz w:val="26"/>
              <w:szCs w:val="26"/>
            </w:rPr>
            <w:t xml:space="preserve"> </w:t>
          </w:r>
          <w:r>
            <w:fldChar w:fldCharType="begin"/>
          </w:r>
          <w:r>
            <w:instrText xml:space="preserve"> HYPERLINK \l "bookmark92" </w:instrText>
          </w:r>
          <w:r>
            <w:fldChar w:fldCharType="separate"/>
          </w:r>
          <w:r>
            <w:rPr>
              <w:rFonts w:ascii="Arial" w:hAnsi="Arial" w:eastAsia="Arial" w:cs="Arial"/>
              <w:b/>
              <w:bCs/>
              <w:sz w:val="26"/>
              <w:szCs w:val="26"/>
            </w:rPr>
            <w:t>1</w:t>
          </w:r>
          <w:r>
            <w:rPr>
              <w:rFonts w:ascii="Arial" w:hAnsi="Arial" w:eastAsia="Arial" w:cs="Arial"/>
              <w:b/>
              <w:bCs/>
              <w:sz w:val="26"/>
              <w:szCs w:val="26"/>
            </w:rPr>
            <w:fldChar w:fldCharType="end"/>
          </w:r>
        </w:p>
        <w:p w14:paraId="5FA11A3E">
          <w:pPr>
            <w:tabs>
              <w:tab w:val="right" w:leader="dot" w:pos="8324"/>
            </w:tabs>
            <w:spacing w:before="152" w:line="219" w:lineRule="auto"/>
            <w:ind w:left="979"/>
            <w:rPr>
              <w:rFonts w:ascii="Arial" w:hAnsi="Arial" w:eastAsia="Arial" w:cs="Arial"/>
              <w:sz w:val="26"/>
              <w:szCs w:val="26"/>
            </w:rPr>
          </w:pPr>
          <w:r>
            <w:rPr>
              <w:rFonts w:ascii="Times New Roman" w:hAnsi="Times New Roman" w:eastAsia="Times New Roman" w:cs="Times New Roman"/>
              <w:b/>
              <w:bCs/>
              <w:color w:val="304040"/>
              <w:spacing w:val="-11"/>
              <w:sz w:val="26"/>
              <w:szCs w:val="26"/>
            </w:rPr>
            <w:t xml:space="preserve">1.2.1  </w:t>
          </w:r>
          <w:r>
            <w:rPr>
              <w:rFonts w:ascii="宋体" w:hAnsi="宋体" w:eastAsia="宋体" w:cs="宋体"/>
              <w:b/>
              <w:bCs/>
              <w:color w:val="304040"/>
              <w:spacing w:val="-11"/>
              <w:sz w:val="26"/>
              <w:szCs w:val="26"/>
            </w:rPr>
            <w:t>法律依据及规范性文件</w:t>
          </w:r>
          <w:r>
            <w:rPr>
              <w:rFonts w:ascii="宋体" w:hAnsi="宋体" w:eastAsia="宋体" w:cs="宋体"/>
              <w:color w:val="304040"/>
              <w:spacing w:val="-92"/>
              <w:sz w:val="26"/>
              <w:szCs w:val="26"/>
            </w:rPr>
            <w:t xml:space="preserve"> </w:t>
          </w:r>
          <w:r>
            <w:rPr>
              <w:rFonts w:ascii="宋体" w:hAnsi="宋体" w:eastAsia="宋体" w:cs="宋体"/>
              <w:color w:val="304040"/>
              <w:sz w:val="26"/>
              <w:szCs w:val="26"/>
            </w:rPr>
            <w:tab/>
          </w:r>
          <w:r>
            <w:fldChar w:fldCharType="begin"/>
          </w:r>
          <w:r>
            <w:instrText xml:space="preserve"> HYPERLINK \l "bookmark93" </w:instrText>
          </w:r>
          <w:r>
            <w:fldChar w:fldCharType="separate"/>
          </w:r>
          <w:r>
            <w:rPr>
              <w:rFonts w:ascii="Arial" w:hAnsi="Arial" w:eastAsia="Arial" w:cs="Arial"/>
              <w:b/>
              <w:bCs/>
              <w:color w:val="304040"/>
              <w:sz w:val="26"/>
              <w:szCs w:val="26"/>
            </w:rPr>
            <w:t>1</w:t>
          </w:r>
          <w:r>
            <w:rPr>
              <w:rFonts w:ascii="Arial" w:hAnsi="Arial" w:eastAsia="Arial" w:cs="Arial"/>
              <w:b/>
              <w:bCs/>
              <w:color w:val="304040"/>
              <w:sz w:val="26"/>
              <w:szCs w:val="26"/>
            </w:rPr>
            <w:fldChar w:fldCharType="end"/>
          </w:r>
        </w:p>
        <w:p w14:paraId="719F062C">
          <w:pPr>
            <w:tabs>
              <w:tab w:val="right" w:leader="dot" w:pos="8327"/>
            </w:tabs>
            <w:spacing w:before="183" w:line="219" w:lineRule="auto"/>
            <w:ind w:left="979"/>
            <w:rPr>
              <w:rFonts w:ascii="Arial" w:hAnsi="Arial" w:eastAsia="Arial" w:cs="Arial"/>
              <w:sz w:val="26"/>
              <w:szCs w:val="26"/>
            </w:rPr>
          </w:pPr>
          <w:r>
            <w:rPr>
              <w:rFonts w:ascii="Times New Roman" w:hAnsi="Times New Roman" w:eastAsia="Times New Roman" w:cs="Times New Roman"/>
              <w:b/>
              <w:bCs/>
              <w:spacing w:val="-9"/>
              <w:sz w:val="26"/>
              <w:szCs w:val="26"/>
            </w:rPr>
            <w:t>1.2.2</w:t>
          </w:r>
          <w:r>
            <w:rPr>
              <w:rFonts w:ascii="Times New Roman" w:hAnsi="Times New Roman" w:eastAsia="Times New Roman" w:cs="Times New Roman"/>
              <w:b/>
              <w:bCs/>
              <w:spacing w:val="13"/>
              <w:sz w:val="26"/>
              <w:szCs w:val="26"/>
            </w:rPr>
            <w:t xml:space="preserve">  </w:t>
          </w:r>
          <w:r>
            <w:rPr>
              <w:rFonts w:ascii="宋体" w:hAnsi="宋体" w:eastAsia="宋体" w:cs="宋体"/>
              <w:b/>
              <w:bCs/>
              <w:spacing w:val="-9"/>
              <w:sz w:val="26"/>
              <w:szCs w:val="26"/>
            </w:rPr>
            <w:t>政策文件</w:t>
          </w:r>
          <w:r>
            <w:rPr>
              <w:rFonts w:ascii="宋体" w:hAnsi="宋体" w:eastAsia="宋体" w:cs="宋体"/>
              <w:spacing w:val="-107"/>
              <w:sz w:val="26"/>
              <w:szCs w:val="26"/>
            </w:rPr>
            <w:t xml:space="preserve"> </w:t>
          </w:r>
          <w:r>
            <w:rPr>
              <w:rFonts w:ascii="宋体" w:hAnsi="宋体" w:eastAsia="宋体" w:cs="宋体"/>
              <w:sz w:val="26"/>
              <w:szCs w:val="26"/>
            </w:rPr>
            <w:tab/>
          </w:r>
          <w:r>
            <w:rPr>
              <w:rFonts w:ascii="宋体" w:hAnsi="宋体" w:eastAsia="宋体" w:cs="宋体"/>
              <w:spacing w:val="-24"/>
              <w:sz w:val="26"/>
              <w:szCs w:val="26"/>
            </w:rPr>
            <w:t xml:space="preserve"> </w:t>
          </w:r>
          <w:r>
            <w:fldChar w:fldCharType="begin"/>
          </w:r>
          <w:r>
            <w:instrText xml:space="preserve"> HYPERLINK \l "bookmark94" </w:instrText>
          </w:r>
          <w:r>
            <w:fldChar w:fldCharType="separate"/>
          </w:r>
          <w:r>
            <w:rPr>
              <w:rFonts w:ascii="Arial" w:hAnsi="Arial" w:eastAsia="Arial" w:cs="Arial"/>
              <w:b/>
              <w:bCs/>
              <w:sz w:val="26"/>
              <w:szCs w:val="26"/>
            </w:rPr>
            <w:t>2</w:t>
          </w:r>
          <w:r>
            <w:rPr>
              <w:rFonts w:ascii="Arial" w:hAnsi="Arial" w:eastAsia="Arial" w:cs="Arial"/>
              <w:b/>
              <w:bCs/>
              <w:sz w:val="26"/>
              <w:szCs w:val="26"/>
            </w:rPr>
            <w:fldChar w:fldCharType="end"/>
          </w:r>
        </w:p>
        <w:p w14:paraId="55581855">
          <w:pPr>
            <w:tabs>
              <w:tab w:val="right" w:leader="dot" w:pos="8304"/>
            </w:tabs>
            <w:spacing w:before="142" w:line="220" w:lineRule="auto"/>
            <w:ind w:left="979"/>
            <w:rPr>
              <w:rFonts w:ascii="Arial" w:hAnsi="Arial" w:eastAsia="Arial" w:cs="Arial"/>
              <w:sz w:val="26"/>
              <w:szCs w:val="26"/>
            </w:rPr>
          </w:pPr>
          <w:r>
            <w:rPr>
              <w:rFonts w:ascii="Times New Roman" w:hAnsi="Times New Roman" w:eastAsia="Times New Roman" w:cs="Times New Roman"/>
              <w:b/>
              <w:bCs/>
              <w:color w:val="202020"/>
              <w:spacing w:val="-4"/>
              <w:sz w:val="26"/>
              <w:szCs w:val="26"/>
            </w:rPr>
            <w:t xml:space="preserve">1.2.3  </w:t>
          </w:r>
          <w:r>
            <w:rPr>
              <w:rFonts w:ascii="宋体" w:hAnsi="宋体" w:eastAsia="宋体" w:cs="宋体"/>
              <w:b/>
              <w:bCs/>
              <w:color w:val="202020"/>
              <w:spacing w:val="-4"/>
              <w:sz w:val="26"/>
              <w:szCs w:val="26"/>
            </w:rPr>
            <w:t>相关规划</w:t>
          </w:r>
          <w:r>
            <w:rPr>
              <w:rFonts w:ascii="宋体" w:hAnsi="宋体" w:eastAsia="宋体" w:cs="宋体"/>
              <w:b/>
              <w:bCs/>
              <w:sz w:val="26"/>
              <w:szCs w:val="26"/>
            </w:rPr>
            <w:tab/>
          </w:r>
          <w:r>
            <w:rPr>
              <w:rFonts w:ascii="宋体" w:hAnsi="宋体" w:eastAsia="宋体" w:cs="宋体"/>
              <w:color w:val="202020"/>
              <w:spacing w:val="-44"/>
              <w:sz w:val="26"/>
              <w:szCs w:val="26"/>
            </w:rPr>
            <w:t xml:space="preserve"> </w:t>
          </w:r>
          <w:r>
            <w:fldChar w:fldCharType="begin"/>
          </w:r>
          <w:r>
            <w:instrText xml:space="preserve"> HYPERLINK \l "bookmark95" </w:instrText>
          </w:r>
          <w:r>
            <w:fldChar w:fldCharType="separate"/>
          </w:r>
          <w:r>
            <w:rPr>
              <w:rFonts w:ascii="Arial" w:hAnsi="Arial" w:eastAsia="Arial" w:cs="Arial"/>
              <w:b/>
              <w:bCs/>
              <w:color w:val="202020"/>
              <w:sz w:val="26"/>
              <w:szCs w:val="26"/>
            </w:rPr>
            <w:t>3</w:t>
          </w:r>
          <w:r>
            <w:rPr>
              <w:rFonts w:ascii="Arial" w:hAnsi="Arial" w:eastAsia="Arial" w:cs="Arial"/>
              <w:b/>
              <w:bCs/>
              <w:color w:val="202020"/>
              <w:sz w:val="26"/>
              <w:szCs w:val="26"/>
            </w:rPr>
            <w:fldChar w:fldCharType="end"/>
          </w:r>
        </w:p>
        <w:p w14:paraId="634D4794">
          <w:pPr>
            <w:tabs>
              <w:tab w:val="right" w:leader="dot" w:pos="8324"/>
            </w:tabs>
            <w:spacing w:before="170" w:line="220" w:lineRule="auto"/>
            <w:ind w:left="979"/>
            <w:rPr>
              <w:rFonts w:ascii="Arial" w:hAnsi="Arial" w:eastAsia="Arial" w:cs="Arial"/>
              <w:sz w:val="26"/>
              <w:szCs w:val="26"/>
            </w:rPr>
          </w:pPr>
          <w:r>
            <w:rPr>
              <w:rFonts w:ascii="Times New Roman" w:hAnsi="Times New Roman" w:eastAsia="Times New Roman" w:cs="Times New Roman"/>
              <w:b/>
              <w:bCs/>
              <w:spacing w:val="-4"/>
              <w:sz w:val="26"/>
              <w:szCs w:val="26"/>
            </w:rPr>
            <w:t xml:space="preserve">1.2.4  </w:t>
          </w:r>
          <w:r>
            <w:rPr>
              <w:rFonts w:ascii="宋体" w:hAnsi="宋体" w:eastAsia="宋体" w:cs="宋体"/>
              <w:b/>
              <w:bCs/>
              <w:spacing w:val="-4"/>
              <w:sz w:val="26"/>
              <w:szCs w:val="26"/>
            </w:rPr>
            <w:t>相关标准</w:t>
          </w:r>
          <w:r>
            <w:rPr>
              <w:rFonts w:ascii="宋体" w:hAnsi="宋体" w:eastAsia="宋体" w:cs="宋体"/>
              <w:b/>
              <w:bCs/>
              <w:sz w:val="26"/>
              <w:szCs w:val="26"/>
            </w:rPr>
            <w:tab/>
          </w:r>
          <w:r>
            <w:rPr>
              <w:rFonts w:ascii="宋体" w:hAnsi="宋体" w:eastAsia="宋体" w:cs="宋体"/>
              <w:spacing w:val="-24"/>
              <w:sz w:val="26"/>
              <w:szCs w:val="26"/>
            </w:rPr>
            <w:t xml:space="preserve"> </w:t>
          </w:r>
          <w:r>
            <w:fldChar w:fldCharType="begin"/>
          </w:r>
          <w:r>
            <w:instrText xml:space="preserve"> HYPERLINK \l "bookmark96" </w:instrText>
          </w:r>
          <w:r>
            <w:fldChar w:fldCharType="separate"/>
          </w:r>
          <w:r>
            <w:rPr>
              <w:rFonts w:ascii="Arial" w:hAnsi="Arial" w:eastAsia="Arial" w:cs="Arial"/>
              <w:b/>
              <w:bCs/>
              <w:sz w:val="26"/>
              <w:szCs w:val="26"/>
            </w:rPr>
            <w:t>3</w:t>
          </w:r>
          <w:r>
            <w:rPr>
              <w:rFonts w:ascii="Arial" w:hAnsi="Arial" w:eastAsia="Arial" w:cs="Arial"/>
              <w:b/>
              <w:bCs/>
              <w:sz w:val="26"/>
              <w:szCs w:val="26"/>
            </w:rPr>
            <w:fldChar w:fldCharType="end"/>
          </w:r>
        </w:p>
        <w:p w14:paraId="2FE9B461">
          <w:pPr>
            <w:tabs>
              <w:tab w:val="right" w:leader="dot" w:pos="8314"/>
            </w:tabs>
            <w:spacing w:before="141" w:line="220" w:lineRule="auto"/>
            <w:ind w:left="979"/>
            <w:rPr>
              <w:rFonts w:ascii="Arial" w:hAnsi="Arial" w:eastAsia="Arial" w:cs="Arial"/>
              <w:sz w:val="26"/>
              <w:szCs w:val="26"/>
            </w:rPr>
          </w:pPr>
          <w:r>
            <w:rPr>
              <w:rFonts w:ascii="Times New Roman" w:hAnsi="Times New Roman" w:eastAsia="Times New Roman" w:cs="Times New Roman"/>
              <w:b/>
              <w:bCs/>
              <w:spacing w:val="-4"/>
              <w:sz w:val="26"/>
              <w:szCs w:val="26"/>
            </w:rPr>
            <w:t xml:space="preserve">1.2.5  </w:t>
          </w:r>
          <w:r>
            <w:rPr>
              <w:rFonts w:ascii="宋体" w:hAnsi="宋体" w:eastAsia="宋体" w:cs="宋体"/>
              <w:b/>
              <w:bCs/>
              <w:spacing w:val="-4"/>
              <w:sz w:val="26"/>
              <w:szCs w:val="26"/>
            </w:rPr>
            <w:t>相关规划</w:t>
          </w:r>
          <w:r>
            <w:rPr>
              <w:rFonts w:ascii="宋体" w:hAnsi="宋体" w:eastAsia="宋体" w:cs="宋体"/>
              <w:b/>
              <w:bCs/>
              <w:sz w:val="26"/>
              <w:szCs w:val="26"/>
            </w:rPr>
            <w:tab/>
          </w:r>
          <w:r>
            <w:rPr>
              <w:rFonts w:ascii="宋体" w:hAnsi="宋体" w:eastAsia="宋体" w:cs="宋体"/>
              <w:spacing w:val="-34"/>
              <w:sz w:val="26"/>
              <w:szCs w:val="26"/>
            </w:rPr>
            <w:t xml:space="preserve"> </w:t>
          </w:r>
          <w:r>
            <w:fldChar w:fldCharType="begin"/>
          </w:r>
          <w:r>
            <w:instrText xml:space="preserve"> HYPERLINK \l "bookmark97" </w:instrText>
          </w:r>
          <w:r>
            <w:fldChar w:fldCharType="separate"/>
          </w:r>
          <w:r>
            <w:rPr>
              <w:rFonts w:ascii="Arial" w:hAnsi="Arial" w:eastAsia="Arial" w:cs="Arial"/>
              <w:b/>
              <w:bCs/>
              <w:sz w:val="26"/>
              <w:szCs w:val="26"/>
            </w:rPr>
            <w:t>3</w:t>
          </w:r>
          <w:r>
            <w:rPr>
              <w:rFonts w:ascii="Arial" w:hAnsi="Arial" w:eastAsia="Arial" w:cs="Arial"/>
              <w:b/>
              <w:bCs/>
              <w:sz w:val="26"/>
              <w:szCs w:val="26"/>
            </w:rPr>
            <w:fldChar w:fldCharType="end"/>
          </w:r>
        </w:p>
        <w:p w14:paraId="6C353416">
          <w:pPr>
            <w:tabs>
              <w:tab w:val="right" w:leader="dot" w:pos="8329"/>
            </w:tabs>
            <w:spacing w:before="177" w:line="218" w:lineRule="auto"/>
            <w:ind w:left="489"/>
            <w:rPr>
              <w:rFonts w:ascii="Arial" w:hAnsi="Arial" w:eastAsia="Arial" w:cs="Arial"/>
              <w:sz w:val="26"/>
              <w:szCs w:val="26"/>
            </w:rPr>
          </w:pPr>
          <w:r>
            <w:rPr>
              <w:rFonts w:ascii="Times New Roman" w:hAnsi="Times New Roman" w:eastAsia="Times New Roman" w:cs="Times New Roman"/>
              <w:b/>
              <w:bCs/>
              <w:spacing w:val="-10"/>
              <w:sz w:val="26"/>
              <w:szCs w:val="26"/>
            </w:rPr>
            <w:t>1.3</w:t>
          </w:r>
          <w:r>
            <w:rPr>
              <w:rFonts w:ascii="Times New Roman" w:hAnsi="Times New Roman" w:eastAsia="Times New Roman" w:cs="Times New Roman"/>
              <w:b/>
              <w:bCs/>
              <w:spacing w:val="-35"/>
              <w:sz w:val="26"/>
              <w:szCs w:val="26"/>
            </w:rPr>
            <w:t xml:space="preserve"> </w:t>
          </w:r>
          <w:r>
            <w:rPr>
              <w:rFonts w:ascii="宋体" w:hAnsi="宋体" w:eastAsia="宋体" w:cs="宋体"/>
              <w:b/>
              <w:bCs/>
              <w:spacing w:val="-10"/>
              <w:sz w:val="26"/>
              <w:szCs w:val="26"/>
            </w:rPr>
            <w:t>、评估范围</w:t>
          </w:r>
          <w:r>
            <w:rPr>
              <w:rFonts w:ascii="宋体" w:hAnsi="宋体" w:eastAsia="宋体" w:cs="宋体"/>
              <w:b/>
              <w:bCs/>
              <w:sz w:val="26"/>
              <w:szCs w:val="26"/>
            </w:rPr>
            <w:tab/>
          </w:r>
          <w:r>
            <w:fldChar w:fldCharType="begin"/>
          </w:r>
          <w:r>
            <w:instrText xml:space="preserve"> HYPERLINK \l "bookmark98" </w:instrText>
          </w:r>
          <w:r>
            <w:fldChar w:fldCharType="separate"/>
          </w:r>
          <w:r>
            <w:rPr>
              <w:rFonts w:ascii="Arial" w:hAnsi="Arial" w:eastAsia="Arial" w:cs="Arial"/>
              <w:b/>
              <w:bCs/>
              <w:spacing w:val="1"/>
              <w:sz w:val="26"/>
              <w:szCs w:val="26"/>
            </w:rPr>
            <w:t>4</w:t>
          </w:r>
          <w:r>
            <w:rPr>
              <w:rFonts w:ascii="Arial" w:hAnsi="Arial" w:eastAsia="Arial" w:cs="Arial"/>
              <w:b/>
              <w:bCs/>
              <w:spacing w:val="1"/>
              <w:sz w:val="26"/>
              <w:szCs w:val="26"/>
            </w:rPr>
            <w:fldChar w:fldCharType="end"/>
          </w:r>
        </w:p>
        <w:p w14:paraId="6BA2D2B4">
          <w:pPr>
            <w:tabs>
              <w:tab w:val="right" w:leader="dot" w:pos="8299"/>
            </w:tabs>
            <w:spacing w:before="143" w:line="218" w:lineRule="auto"/>
            <w:ind w:left="489"/>
            <w:rPr>
              <w:rFonts w:ascii="Arial" w:hAnsi="Arial" w:eastAsia="Arial" w:cs="Arial"/>
              <w:sz w:val="26"/>
              <w:szCs w:val="26"/>
            </w:rPr>
          </w:pPr>
          <w:r>
            <w:rPr>
              <w:rFonts w:ascii="Times New Roman" w:hAnsi="Times New Roman" w:eastAsia="Times New Roman" w:cs="Times New Roman"/>
              <w:b/>
              <w:bCs/>
              <w:color w:val="404050"/>
              <w:spacing w:val="-15"/>
              <w:sz w:val="26"/>
              <w:szCs w:val="26"/>
            </w:rPr>
            <w:t>1.4</w:t>
          </w:r>
          <w:r>
            <w:rPr>
              <w:rFonts w:ascii="Times New Roman" w:hAnsi="Times New Roman" w:eastAsia="Times New Roman" w:cs="Times New Roman"/>
              <w:b/>
              <w:bCs/>
              <w:color w:val="404050"/>
              <w:spacing w:val="-30"/>
              <w:sz w:val="26"/>
              <w:szCs w:val="26"/>
            </w:rPr>
            <w:t xml:space="preserve"> </w:t>
          </w:r>
          <w:r>
            <w:rPr>
              <w:rFonts w:ascii="宋体" w:hAnsi="宋体" w:eastAsia="宋体" w:cs="宋体"/>
              <w:b/>
              <w:bCs/>
              <w:color w:val="404050"/>
              <w:spacing w:val="-15"/>
              <w:sz w:val="26"/>
              <w:szCs w:val="26"/>
            </w:rPr>
            <w:t>、评估方法及技术路线</w:t>
          </w:r>
          <w:r>
            <w:rPr>
              <w:rFonts w:ascii="宋体" w:hAnsi="宋体" w:eastAsia="宋体" w:cs="宋体"/>
              <w:color w:val="404050"/>
              <w:spacing w:val="-114"/>
              <w:sz w:val="26"/>
              <w:szCs w:val="26"/>
            </w:rPr>
            <w:t xml:space="preserve"> </w:t>
          </w:r>
          <w:r>
            <w:rPr>
              <w:rFonts w:ascii="宋体" w:hAnsi="宋体" w:eastAsia="宋体" w:cs="宋体"/>
              <w:color w:val="404050"/>
              <w:sz w:val="26"/>
              <w:szCs w:val="26"/>
            </w:rPr>
            <w:tab/>
          </w:r>
          <w:r>
            <w:fldChar w:fldCharType="begin"/>
          </w:r>
          <w:r>
            <w:instrText xml:space="preserve"> HYPERLINK \l "bookmark99" </w:instrText>
          </w:r>
          <w:r>
            <w:fldChar w:fldCharType="separate"/>
          </w:r>
          <w:r>
            <w:rPr>
              <w:rFonts w:ascii="Arial" w:hAnsi="Arial" w:eastAsia="Arial" w:cs="Arial"/>
              <w:b/>
              <w:bCs/>
              <w:color w:val="404050"/>
              <w:sz w:val="26"/>
              <w:szCs w:val="26"/>
            </w:rPr>
            <w:t>4</w:t>
          </w:r>
          <w:r>
            <w:rPr>
              <w:rFonts w:ascii="Arial" w:hAnsi="Arial" w:eastAsia="Arial" w:cs="Arial"/>
              <w:b/>
              <w:bCs/>
              <w:color w:val="404050"/>
              <w:sz w:val="26"/>
              <w:szCs w:val="26"/>
            </w:rPr>
            <w:fldChar w:fldCharType="end"/>
          </w:r>
        </w:p>
        <w:p w14:paraId="28491AC1">
          <w:pPr>
            <w:tabs>
              <w:tab w:val="right" w:leader="dot" w:pos="8332"/>
            </w:tabs>
            <w:spacing w:before="204" w:line="210" w:lineRule="auto"/>
            <w:rPr>
              <w:rFonts w:ascii="Arial" w:hAnsi="Arial" w:eastAsia="Arial" w:cs="Arial"/>
              <w:sz w:val="26"/>
              <w:szCs w:val="26"/>
            </w:rPr>
          </w:pPr>
          <w:r>
            <w:rPr>
              <w:rFonts w:ascii="Times New Roman" w:hAnsi="Times New Roman" w:eastAsia="Times New Roman" w:cs="Times New Roman"/>
              <w:b/>
              <w:bCs/>
              <w:spacing w:val="10"/>
              <w:sz w:val="23"/>
              <w:szCs w:val="23"/>
            </w:rPr>
            <w:t>2</w:t>
          </w:r>
          <w:r>
            <w:rPr>
              <w:rFonts w:ascii="Times New Roman" w:hAnsi="Times New Roman" w:eastAsia="Times New Roman" w:cs="Times New Roman"/>
              <w:b/>
              <w:bCs/>
              <w:spacing w:val="-27"/>
              <w:sz w:val="23"/>
              <w:szCs w:val="23"/>
            </w:rPr>
            <w:t xml:space="preserve"> </w:t>
          </w:r>
          <w:r>
            <w:rPr>
              <w:rFonts w:ascii="宋体" w:hAnsi="宋体" w:eastAsia="宋体" w:cs="宋体"/>
              <w:b/>
              <w:bCs/>
              <w:spacing w:val="10"/>
              <w:sz w:val="23"/>
              <w:szCs w:val="23"/>
            </w:rPr>
            <w:t>、基础环境特征调查</w:t>
          </w:r>
          <w:r>
            <w:rPr>
              <w:rFonts w:ascii="宋体" w:hAnsi="宋体" w:eastAsia="宋体" w:cs="宋体"/>
              <w:spacing w:val="-94"/>
              <w:sz w:val="23"/>
              <w:szCs w:val="23"/>
            </w:rPr>
            <w:t xml:space="preserve"> </w:t>
          </w:r>
          <w:r>
            <w:rPr>
              <w:rFonts w:ascii="宋体" w:hAnsi="宋体" w:eastAsia="宋体" w:cs="宋体"/>
              <w:sz w:val="23"/>
              <w:szCs w:val="23"/>
            </w:rPr>
            <w:tab/>
          </w:r>
          <w:r>
            <w:rPr>
              <w:rFonts w:ascii="宋体" w:hAnsi="宋体" w:eastAsia="宋体" w:cs="宋体"/>
              <w:spacing w:val="-2"/>
              <w:sz w:val="23"/>
              <w:szCs w:val="23"/>
            </w:rPr>
            <w:t xml:space="preserve"> </w:t>
          </w:r>
          <w:r>
            <w:fldChar w:fldCharType="begin"/>
          </w:r>
          <w:r>
            <w:instrText xml:space="preserve"> HYPERLINK \l "bookmark100" </w:instrText>
          </w:r>
          <w:r>
            <w:fldChar w:fldCharType="separate"/>
          </w:r>
          <w:r>
            <w:rPr>
              <w:rFonts w:ascii="Arial" w:hAnsi="Arial" w:eastAsia="Arial" w:cs="Arial"/>
              <w:b/>
              <w:bCs/>
              <w:sz w:val="26"/>
              <w:szCs w:val="26"/>
            </w:rPr>
            <w:t>5</w:t>
          </w:r>
          <w:r>
            <w:rPr>
              <w:rFonts w:ascii="Arial" w:hAnsi="Arial" w:eastAsia="Arial" w:cs="Arial"/>
              <w:b/>
              <w:bCs/>
              <w:sz w:val="26"/>
              <w:szCs w:val="26"/>
            </w:rPr>
            <w:fldChar w:fldCharType="end"/>
          </w:r>
        </w:p>
        <w:p w14:paraId="0F60C88A">
          <w:pPr>
            <w:tabs>
              <w:tab w:val="right" w:leader="dot" w:pos="8322"/>
            </w:tabs>
            <w:spacing w:before="168" w:line="219" w:lineRule="auto"/>
            <w:ind w:left="489"/>
            <w:rPr>
              <w:rFonts w:ascii="Arial" w:hAnsi="Arial" w:eastAsia="Arial" w:cs="Arial"/>
              <w:sz w:val="26"/>
              <w:szCs w:val="26"/>
            </w:rPr>
          </w:pPr>
          <w:r>
            <w:rPr>
              <w:rFonts w:ascii="Times New Roman" w:hAnsi="Times New Roman" w:eastAsia="Times New Roman" w:cs="Times New Roman"/>
              <w:b/>
              <w:bCs/>
              <w:spacing w:val="-13"/>
              <w:sz w:val="26"/>
              <w:szCs w:val="26"/>
            </w:rPr>
            <w:t>2.1</w:t>
          </w:r>
          <w:r>
            <w:rPr>
              <w:rFonts w:ascii="Times New Roman" w:hAnsi="Times New Roman" w:eastAsia="Times New Roman" w:cs="Times New Roman"/>
              <w:b/>
              <w:bCs/>
              <w:spacing w:val="49"/>
              <w:w w:val="101"/>
              <w:sz w:val="26"/>
              <w:szCs w:val="26"/>
            </w:rPr>
            <w:t xml:space="preserve"> </w:t>
          </w:r>
          <w:r>
            <w:rPr>
              <w:rFonts w:ascii="宋体" w:hAnsi="宋体" w:eastAsia="宋体" w:cs="宋体"/>
              <w:b/>
              <w:bCs/>
              <w:spacing w:val="-13"/>
              <w:sz w:val="26"/>
              <w:szCs w:val="26"/>
            </w:rPr>
            <w:t>一般性调查内容</w:t>
          </w:r>
          <w:r>
            <w:rPr>
              <w:rFonts w:ascii="宋体" w:hAnsi="宋体" w:eastAsia="宋体" w:cs="宋体"/>
              <w:spacing w:val="-110"/>
              <w:sz w:val="26"/>
              <w:szCs w:val="26"/>
            </w:rPr>
            <w:t xml:space="preserve"> </w:t>
          </w:r>
          <w:r>
            <w:rPr>
              <w:rFonts w:ascii="宋体" w:hAnsi="宋体" w:eastAsia="宋体" w:cs="宋体"/>
              <w:sz w:val="26"/>
              <w:szCs w:val="26"/>
            </w:rPr>
            <w:tab/>
          </w:r>
          <w:r>
            <w:rPr>
              <w:rFonts w:ascii="宋体" w:hAnsi="宋体" w:eastAsia="宋体" w:cs="宋体"/>
              <w:spacing w:val="-34"/>
              <w:sz w:val="26"/>
              <w:szCs w:val="26"/>
            </w:rPr>
            <w:t xml:space="preserve"> </w:t>
          </w:r>
          <w:r>
            <w:fldChar w:fldCharType="begin"/>
          </w:r>
          <w:r>
            <w:instrText xml:space="preserve"> HYPERLINK \l "bookmark101" </w:instrText>
          </w:r>
          <w:r>
            <w:fldChar w:fldCharType="separate"/>
          </w:r>
          <w:r>
            <w:rPr>
              <w:rFonts w:ascii="Arial" w:hAnsi="Arial" w:eastAsia="Arial" w:cs="Arial"/>
              <w:b/>
              <w:bCs/>
              <w:sz w:val="26"/>
              <w:szCs w:val="26"/>
            </w:rPr>
            <w:t>5</w:t>
          </w:r>
          <w:r>
            <w:rPr>
              <w:rFonts w:ascii="Arial" w:hAnsi="Arial" w:eastAsia="Arial" w:cs="Arial"/>
              <w:b/>
              <w:bCs/>
              <w:sz w:val="26"/>
              <w:szCs w:val="26"/>
            </w:rPr>
            <w:fldChar w:fldCharType="end"/>
          </w:r>
        </w:p>
        <w:p w14:paraId="0F6310D2">
          <w:pPr>
            <w:tabs>
              <w:tab w:val="right" w:leader="dot" w:pos="8317"/>
            </w:tabs>
            <w:spacing w:before="141" w:line="219" w:lineRule="auto"/>
            <w:ind w:left="489"/>
            <w:rPr>
              <w:rFonts w:ascii="Arial" w:hAnsi="Arial" w:eastAsia="Arial" w:cs="Arial"/>
              <w:sz w:val="26"/>
              <w:szCs w:val="26"/>
            </w:rPr>
          </w:pPr>
          <w:r>
            <w:rPr>
              <w:rFonts w:ascii="Times New Roman" w:hAnsi="Times New Roman" w:eastAsia="Times New Roman" w:cs="Times New Roman"/>
              <w:b/>
              <w:bCs/>
              <w:spacing w:val="-12"/>
              <w:sz w:val="26"/>
              <w:szCs w:val="26"/>
            </w:rPr>
            <w:t>2.2</w:t>
          </w:r>
          <w:r>
            <w:rPr>
              <w:rFonts w:ascii="Times New Roman" w:hAnsi="Times New Roman" w:eastAsia="Times New Roman" w:cs="Times New Roman"/>
              <w:b/>
              <w:bCs/>
              <w:spacing w:val="37"/>
              <w:sz w:val="26"/>
              <w:szCs w:val="26"/>
            </w:rPr>
            <w:t xml:space="preserve"> </w:t>
          </w:r>
          <w:r>
            <w:rPr>
              <w:rFonts w:ascii="宋体" w:hAnsi="宋体" w:eastAsia="宋体" w:cs="宋体"/>
              <w:b/>
              <w:bCs/>
              <w:spacing w:val="-12"/>
              <w:sz w:val="26"/>
              <w:szCs w:val="26"/>
            </w:rPr>
            <w:t>水环境质量状况</w:t>
          </w:r>
          <w:r>
            <w:rPr>
              <w:rFonts w:ascii="宋体" w:hAnsi="宋体" w:eastAsia="宋体" w:cs="宋体"/>
              <w:spacing w:val="-108"/>
              <w:sz w:val="26"/>
              <w:szCs w:val="26"/>
            </w:rPr>
            <w:t xml:space="preserve"> </w:t>
          </w:r>
          <w:r>
            <w:rPr>
              <w:rFonts w:ascii="宋体" w:hAnsi="宋体" w:eastAsia="宋体" w:cs="宋体"/>
              <w:sz w:val="26"/>
              <w:szCs w:val="26"/>
            </w:rPr>
            <w:tab/>
          </w:r>
          <w:r>
            <w:fldChar w:fldCharType="begin"/>
          </w:r>
          <w:r>
            <w:instrText xml:space="preserve"> HYPERLINK \l "bookmark102" </w:instrText>
          </w:r>
          <w:r>
            <w:fldChar w:fldCharType="separate"/>
          </w:r>
          <w:r>
            <w:rPr>
              <w:rFonts w:ascii="Arial" w:hAnsi="Arial" w:eastAsia="Arial" w:cs="Arial"/>
              <w:b/>
              <w:bCs/>
              <w:spacing w:val="-4"/>
              <w:sz w:val="26"/>
              <w:szCs w:val="26"/>
            </w:rPr>
            <w:t>12</w:t>
          </w:r>
          <w:r>
            <w:rPr>
              <w:rFonts w:ascii="Arial" w:hAnsi="Arial" w:eastAsia="Arial" w:cs="Arial"/>
              <w:b/>
              <w:bCs/>
              <w:spacing w:val="-4"/>
              <w:sz w:val="26"/>
              <w:szCs w:val="26"/>
            </w:rPr>
            <w:fldChar w:fldCharType="end"/>
          </w:r>
        </w:p>
        <w:p w14:paraId="14A7A03F">
          <w:pPr>
            <w:tabs>
              <w:tab w:val="right" w:leader="dot" w:pos="8317"/>
            </w:tabs>
            <w:spacing w:before="159" w:line="218" w:lineRule="auto"/>
            <w:ind w:left="489"/>
            <w:rPr>
              <w:rFonts w:ascii="Arial" w:hAnsi="Arial" w:eastAsia="Arial" w:cs="Arial"/>
              <w:sz w:val="26"/>
              <w:szCs w:val="26"/>
            </w:rPr>
          </w:pPr>
          <w:r>
            <w:rPr>
              <w:rFonts w:ascii="Times New Roman" w:hAnsi="Times New Roman" w:eastAsia="Times New Roman" w:cs="Times New Roman"/>
              <w:b/>
              <w:bCs/>
              <w:color w:val="001010"/>
              <w:spacing w:val="-15"/>
              <w:sz w:val="26"/>
              <w:szCs w:val="26"/>
            </w:rPr>
            <w:t>2.3</w:t>
          </w:r>
          <w:r>
            <w:rPr>
              <w:rFonts w:ascii="Times New Roman" w:hAnsi="Times New Roman" w:eastAsia="Times New Roman" w:cs="Times New Roman"/>
              <w:b/>
              <w:bCs/>
              <w:color w:val="001010"/>
              <w:spacing w:val="44"/>
              <w:w w:val="101"/>
              <w:sz w:val="26"/>
              <w:szCs w:val="26"/>
            </w:rPr>
            <w:t xml:space="preserve"> </w:t>
          </w:r>
          <w:r>
            <w:rPr>
              <w:rFonts w:ascii="宋体" w:hAnsi="宋体" w:eastAsia="宋体" w:cs="宋体"/>
              <w:b/>
              <w:bCs/>
              <w:color w:val="001010"/>
              <w:spacing w:val="-15"/>
              <w:sz w:val="26"/>
              <w:szCs w:val="26"/>
            </w:rPr>
            <w:t>固定源调查与风险评估</w:t>
          </w:r>
          <w:r>
            <w:rPr>
              <w:rFonts w:ascii="宋体" w:hAnsi="宋体" w:eastAsia="宋体" w:cs="宋体"/>
              <w:color w:val="001010"/>
              <w:spacing w:val="-108"/>
              <w:sz w:val="26"/>
              <w:szCs w:val="26"/>
            </w:rPr>
            <w:t xml:space="preserve"> </w:t>
          </w:r>
          <w:r>
            <w:rPr>
              <w:rFonts w:ascii="宋体" w:hAnsi="宋体" w:eastAsia="宋体" w:cs="宋体"/>
              <w:color w:val="001010"/>
              <w:sz w:val="26"/>
              <w:szCs w:val="26"/>
            </w:rPr>
            <w:tab/>
          </w:r>
          <w:r>
            <w:fldChar w:fldCharType="begin"/>
          </w:r>
          <w:r>
            <w:instrText xml:space="preserve"> HYPERLINK \l "bookmark103" </w:instrText>
          </w:r>
          <w:r>
            <w:fldChar w:fldCharType="separate"/>
          </w:r>
          <w:r>
            <w:rPr>
              <w:rFonts w:ascii="Arial" w:hAnsi="Arial" w:eastAsia="Arial" w:cs="Arial"/>
              <w:b/>
              <w:bCs/>
              <w:color w:val="001010"/>
              <w:spacing w:val="-2"/>
              <w:sz w:val="26"/>
              <w:szCs w:val="26"/>
            </w:rPr>
            <w:t>12</w:t>
          </w:r>
          <w:r>
            <w:rPr>
              <w:rFonts w:ascii="Arial" w:hAnsi="Arial" w:eastAsia="Arial" w:cs="Arial"/>
              <w:b/>
              <w:bCs/>
              <w:color w:val="001010"/>
              <w:spacing w:val="-2"/>
              <w:sz w:val="26"/>
              <w:szCs w:val="26"/>
            </w:rPr>
            <w:fldChar w:fldCharType="end"/>
          </w:r>
        </w:p>
        <w:p w14:paraId="0664135C">
          <w:pPr>
            <w:tabs>
              <w:tab w:val="right" w:leader="dot" w:pos="8317"/>
            </w:tabs>
            <w:spacing w:before="173" w:line="218" w:lineRule="auto"/>
            <w:ind w:left="489"/>
            <w:rPr>
              <w:rFonts w:ascii="Arial" w:hAnsi="Arial" w:eastAsia="Arial" w:cs="Arial"/>
              <w:sz w:val="26"/>
              <w:szCs w:val="26"/>
            </w:rPr>
          </w:pPr>
          <w:r>
            <w:rPr>
              <w:rFonts w:ascii="Times New Roman" w:hAnsi="Times New Roman" w:eastAsia="Times New Roman" w:cs="Times New Roman"/>
              <w:b/>
              <w:bCs/>
              <w:spacing w:val="-14"/>
              <w:sz w:val="26"/>
              <w:szCs w:val="26"/>
            </w:rPr>
            <w:t>2.4</w:t>
          </w:r>
          <w:r>
            <w:rPr>
              <w:rFonts w:ascii="Times New Roman" w:hAnsi="Times New Roman" w:eastAsia="Times New Roman" w:cs="Times New Roman"/>
              <w:b/>
              <w:bCs/>
              <w:spacing w:val="21"/>
              <w:w w:val="101"/>
              <w:sz w:val="26"/>
              <w:szCs w:val="26"/>
            </w:rPr>
            <w:t xml:space="preserve"> </w:t>
          </w:r>
          <w:r>
            <w:rPr>
              <w:rFonts w:ascii="宋体" w:hAnsi="宋体" w:eastAsia="宋体" w:cs="宋体"/>
              <w:b/>
              <w:bCs/>
              <w:spacing w:val="-14"/>
              <w:sz w:val="26"/>
              <w:szCs w:val="26"/>
            </w:rPr>
            <w:t>流动源调查与风险评估</w:t>
          </w:r>
          <w:r>
            <w:rPr>
              <w:rFonts w:ascii="宋体" w:hAnsi="宋体" w:eastAsia="宋体" w:cs="宋体"/>
              <w:spacing w:val="-108"/>
              <w:sz w:val="26"/>
              <w:szCs w:val="26"/>
            </w:rPr>
            <w:t xml:space="preserve"> </w:t>
          </w:r>
          <w:r>
            <w:rPr>
              <w:rFonts w:ascii="宋体" w:hAnsi="宋体" w:eastAsia="宋体" w:cs="宋体"/>
              <w:sz w:val="26"/>
              <w:szCs w:val="26"/>
            </w:rPr>
            <w:tab/>
          </w:r>
          <w:r>
            <w:fldChar w:fldCharType="begin"/>
          </w:r>
          <w:r>
            <w:instrText xml:space="preserve"> HYPERLINK \l "bookmark104" </w:instrText>
          </w:r>
          <w:r>
            <w:fldChar w:fldCharType="separate"/>
          </w:r>
          <w:r>
            <w:rPr>
              <w:rFonts w:ascii="Arial" w:hAnsi="Arial" w:eastAsia="Arial" w:cs="Arial"/>
              <w:b/>
              <w:bCs/>
              <w:spacing w:val="2"/>
              <w:sz w:val="26"/>
              <w:szCs w:val="26"/>
            </w:rPr>
            <w:t>12</w:t>
          </w:r>
          <w:r>
            <w:rPr>
              <w:rFonts w:ascii="Arial" w:hAnsi="Arial" w:eastAsia="Arial" w:cs="Arial"/>
              <w:b/>
              <w:bCs/>
              <w:spacing w:val="2"/>
              <w:sz w:val="26"/>
              <w:szCs w:val="26"/>
            </w:rPr>
            <w:fldChar w:fldCharType="end"/>
          </w:r>
        </w:p>
        <w:p w14:paraId="4272FFB0">
          <w:pPr>
            <w:tabs>
              <w:tab w:val="right" w:leader="dot" w:pos="8327"/>
            </w:tabs>
            <w:spacing w:before="166" w:line="219" w:lineRule="auto"/>
            <w:ind w:left="979"/>
            <w:rPr>
              <w:rFonts w:ascii="Arial" w:hAnsi="Arial" w:eastAsia="Arial" w:cs="Arial"/>
              <w:sz w:val="26"/>
              <w:szCs w:val="26"/>
            </w:rPr>
          </w:pPr>
          <w:r>
            <w:rPr>
              <w:rFonts w:ascii="Times New Roman" w:hAnsi="Times New Roman" w:eastAsia="Times New Roman" w:cs="Times New Roman"/>
              <w:b/>
              <w:bCs/>
              <w:spacing w:val="-7"/>
              <w:sz w:val="26"/>
              <w:szCs w:val="26"/>
            </w:rPr>
            <w:t>2.4.1</w:t>
          </w:r>
          <w:r>
            <w:rPr>
              <w:rFonts w:ascii="Times New Roman" w:hAnsi="Times New Roman" w:eastAsia="Times New Roman" w:cs="Times New Roman"/>
              <w:b/>
              <w:bCs/>
              <w:spacing w:val="10"/>
              <w:sz w:val="26"/>
              <w:szCs w:val="26"/>
            </w:rPr>
            <w:t xml:space="preserve">  </w:t>
          </w:r>
          <w:r>
            <w:rPr>
              <w:rFonts w:ascii="宋体" w:hAnsi="宋体" w:eastAsia="宋体" w:cs="宋体"/>
              <w:b/>
              <w:bCs/>
              <w:spacing w:val="-7"/>
              <w:sz w:val="26"/>
              <w:szCs w:val="26"/>
            </w:rPr>
            <w:t>调查内容</w:t>
          </w:r>
          <w:r>
            <w:rPr>
              <w:rFonts w:ascii="宋体" w:hAnsi="宋体" w:eastAsia="宋体" w:cs="宋体"/>
              <w:spacing w:val="-109"/>
              <w:sz w:val="26"/>
              <w:szCs w:val="26"/>
            </w:rPr>
            <w:t xml:space="preserve"> </w:t>
          </w:r>
          <w:r>
            <w:rPr>
              <w:rFonts w:ascii="宋体" w:hAnsi="宋体" w:eastAsia="宋体" w:cs="宋体"/>
              <w:sz w:val="26"/>
              <w:szCs w:val="26"/>
            </w:rPr>
            <w:tab/>
          </w:r>
          <w:r>
            <w:fldChar w:fldCharType="begin"/>
          </w:r>
          <w:r>
            <w:instrText xml:space="preserve"> HYPERLINK \l "bookmark105" </w:instrText>
          </w:r>
          <w:r>
            <w:fldChar w:fldCharType="separate"/>
          </w:r>
          <w:r>
            <w:rPr>
              <w:rFonts w:ascii="Arial" w:hAnsi="Arial" w:eastAsia="Arial" w:cs="Arial"/>
              <w:b/>
              <w:bCs/>
              <w:spacing w:val="-4"/>
              <w:sz w:val="26"/>
              <w:szCs w:val="26"/>
            </w:rPr>
            <w:t>12</w:t>
          </w:r>
          <w:r>
            <w:rPr>
              <w:rFonts w:ascii="Arial" w:hAnsi="Arial" w:eastAsia="Arial" w:cs="Arial"/>
              <w:b/>
              <w:bCs/>
              <w:spacing w:val="-4"/>
              <w:sz w:val="26"/>
              <w:szCs w:val="26"/>
            </w:rPr>
            <w:fldChar w:fldCharType="end"/>
          </w:r>
        </w:p>
        <w:p w14:paraId="7A227C40">
          <w:pPr>
            <w:tabs>
              <w:tab w:val="right" w:leader="dot" w:pos="8329"/>
            </w:tabs>
            <w:spacing w:before="169" w:line="218" w:lineRule="auto"/>
            <w:ind w:left="979"/>
            <w:rPr>
              <w:rFonts w:ascii="Arial" w:hAnsi="Arial" w:eastAsia="Arial" w:cs="Arial"/>
              <w:sz w:val="26"/>
              <w:szCs w:val="26"/>
            </w:rPr>
          </w:pPr>
          <w:r>
            <w:rPr>
              <w:rFonts w:ascii="Times New Roman" w:hAnsi="Times New Roman" w:eastAsia="Times New Roman" w:cs="Times New Roman"/>
              <w:b/>
              <w:bCs/>
              <w:spacing w:val="-7"/>
              <w:sz w:val="26"/>
              <w:szCs w:val="26"/>
            </w:rPr>
            <w:t>2.4.2</w:t>
          </w:r>
          <w:r>
            <w:rPr>
              <w:rFonts w:ascii="Times New Roman" w:hAnsi="Times New Roman" w:eastAsia="Times New Roman" w:cs="Times New Roman"/>
              <w:b/>
              <w:bCs/>
              <w:spacing w:val="14"/>
              <w:sz w:val="26"/>
              <w:szCs w:val="26"/>
            </w:rPr>
            <w:t xml:space="preserve">  </w:t>
          </w:r>
          <w:r>
            <w:rPr>
              <w:rFonts w:ascii="宋体" w:hAnsi="宋体" w:eastAsia="宋体" w:cs="宋体"/>
              <w:b/>
              <w:bCs/>
              <w:spacing w:val="-7"/>
              <w:sz w:val="26"/>
              <w:szCs w:val="26"/>
            </w:rPr>
            <w:t>风险评估</w:t>
          </w:r>
          <w:r>
            <w:rPr>
              <w:rFonts w:ascii="宋体" w:hAnsi="宋体" w:eastAsia="宋体" w:cs="宋体"/>
              <w:spacing w:val="-117"/>
              <w:sz w:val="26"/>
              <w:szCs w:val="26"/>
            </w:rPr>
            <w:t xml:space="preserve"> </w:t>
          </w:r>
          <w:r>
            <w:rPr>
              <w:rFonts w:ascii="宋体" w:hAnsi="宋体" w:eastAsia="宋体" w:cs="宋体"/>
              <w:sz w:val="26"/>
              <w:szCs w:val="26"/>
            </w:rPr>
            <w:tab/>
          </w:r>
          <w:r>
            <w:fldChar w:fldCharType="begin"/>
          </w:r>
          <w:r>
            <w:instrText xml:space="preserve"> HYPERLINK \l "bookmark106" </w:instrText>
          </w:r>
          <w:r>
            <w:fldChar w:fldCharType="separate"/>
          </w:r>
          <w:r>
            <w:rPr>
              <w:rFonts w:ascii="Arial" w:hAnsi="Arial" w:eastAsia="Arial" w:cs="Arial"/>
              <w:b/>
              <w:bCs/>
              <w:spacing w:val="-14"/>
              <w:sz w:val="26"/>
              <w:szCs w:val="26"/>
            </w:rPr>
            <w:t>13</w:t>
          </w:r>
          <w:r>
            <w:rPr>
              <w:rFonts w:ascii="Arial" w:hAnsi="Arial" w:eastAsia="Arial" w:cs="Arial"/>
              <w:b/>
              <w:bCs/>
              <w:spacing w:val="-14"/>
              <w:sz w:val="26"/>
              <w:szCs w:val="26"/>
            </w:rPr>
            <w:fldChar w:fldCharType="end"/>
          </w:r>
        </w:p>
        <w:p w14:paraId="7E820520">
          <w:pPr>
            <w:tabs>
              <w:tab w:val="right" w:leader="dot" w:pos="8307"/>
            </w:tabs>
            <w:spacing w:before="133" w:line="218" w:lineRule="auto"/>
            <w:ind w:left="489"/>
            <w:rPr>
              <w:rFonts w:ascii="Arial" w:hAnsi="Arial" w:eastAsia="Arial" w:cs="Arial"/>
              <w:sz w:val="26"/>
              <w:szCs w:val="26"/>
            </w:rPr>
          </w:pPr>
          <w:r>
            <w:rPr>
              <w:rFonts w:ascii="Times New Roman" w:hAnsi="Times New Roman" w:eastAsia="Times New Roman" w:cs="Times New Roman"/>
              <w:b/>
              <w:bCs/>
              <w:spacing w:val="-14"/>
              <w:sz w:val="26"/>
              <w:szCs w:val="26"/>
            </w:rPr>
            <w:t>2.5</w:t>
          </w:r>
          <w:r>
            <w:rPr>
              <w:rFonts w:ascii="Times New Roman" w:hAnsi="Times New Roman" w:eastAsia="Times New Roman" w:cs="Times New Roman"/>
              <w:b/>
              <w:bCs/>
              <w:spacing w:val="31"/>
              <w:w w:val="101"/>
              <w:sz w:val="26"/>
              <w:szCs w:val="26"/>
            </w:rPr>
            <w:t xml:space="preserve"> </w:t>
          </w:r>
          <w:r>
            <w:rPr>
              <w:rFonts w:ascii="宋体" w:hAnsi="宋体" w:eastAsia="宋体" w:cs="宋体"/>
              <w:b/>
              <w:bCs/>
              <w:spacing w:val="-14"/>
              <w:sz w:val="26"/>
              <w:szCs w:val="26"/>
            </w:rPr>
            <w:t>非点源调查与风险评估</w:t>
          </w:r>
          <w:r>
            <w:rPr>
              <w:rFonts w:ascii="宋体" w:hAnsi="宋体" w:eastAsia="宋体" w:cs="宋体"/>
              <w:spacing w:val="-108"/>
              <w:sz w:val="26"/>
              <w:szCs w:val="26"/>
            </w:rPr>
            <w:t xml:space="preserve"> </w:t>
          </w:r>
          <w:r>
            <w:rPr>
              <w:rFonts w:ascii="宋体" w:hAnsi="宋体" w:eastAsia="宋体" w:cs="宋体"/>
              <w:sz w:val="26"/>
              <w:szCs w:val="26"/>
            </w:rPr>
            <w:tab/>
          </w:r>
          <w:r>
            <w:fldChar w:fldCharType="begin"/>
          </w:r>
          <w:r>
            <w:instrText xml:space="preserve"> HYPERLINK \l "bookmark107" </w:instrText>
          </w:r>
          <w:r>
            <w:fldChar w:fldCharType="separate"/>
          </w:r>
          <w:r>
            <w:rPr>
              <w:rFonts w:ascii="Arial" w:hAnsi="Arial" w:eastAsia="Arial" w:cs="Arial"/>
              <w:b/>
              <w:bCs/>
              <w:spacing w:val="-4"/>
              <w:sz w:val="26"/>
              <w:szCs w:val="26"/>
            </w:rPr>
            <w:t>14</w:t>
          </w:r>
          <w:r>
            <w:rPr>
              <w:rFonts w:ascii="Arial" w:hAnsi="Arial" w:eastAsia="Arial" w:cs="Arial"/>
              <w:b/>
              <w:bCs/>
              <w:spacing w:val="-4"/>
              <w:sz w:val="26"/>
              <w:szCs w:val="26"/>
            </w:rPr>
            <w:fldChar w:fldCharType="end"/>
          </w:r>
        </w:p>
        <w:p w14:paraId="5910C7F4">
          <w:pPr>
            <w:tabs>
              <w:tab w:val="right" w:leader="dot" w:pos="8327"/>
            </w:tabs>
            <w:spacing w:before="165" w:line="219" w:lineRule="auto"/>
            <w:ind w:left="979"/>
            <w:rPr>
              <w:rFonts w:ascii="Arial" w:hAnsi="Arial" w:eastAsia="Arial" w:cs="Arial"/>
              <w:sz w:val="26"/>
              <w:szCs w:val="26"/>
            </w:rPr>
          </w:pPr>
          <w:r>
            <w:rPr>
              <w:rFonts w:ascii="Times New Roman" w:hAnsi="Times New Roman" w:eastAsia="Times New Roman" w:cs="Times New Roman"/>
              <w:b/>
              <w:bCs/>
              <w:color w:val="303030"/>
              <w:spacing w:val="-8"/>
              <w:sz w:val="26"/>
              <w:szCs w:val="26"/>
            </w:rPr>
            <w:t>2.5.1</w:t>
          </w:r>
          <w:r>
            <w:rPr>
              <w:rFonts w:ascii="Times New Roman" w:hAnsi="Times New Roman" w:eastAsia="Times New Roman" w:cs="Times New Roman"/>
              <w:b/>
              <w:bCs/>
              <w:color w:val="303030"/>
              <w:spacing w:val="10"/>
              <w:sz w:val="26"/>
              <w:szCs w:val="26"/>
            </w:rPr>
            <w:t xml:space="preserve">  </w:t>
          </w:r>
          <w:r>
            <w:rPr>
              <w:rFonts w:ascii="宋体" w:hAnsi="宋体" w:eastAsia="宋体" w:cs="宋体"/>
              <w:b/>
              <w:bCs/>
              <w:spacing w:val="-8"/>
              <w:sz w:val="26"/>
              <w:szCs w:val="26"/>
            </w:rPr>
            <w:t>调查内</w:t>
          </w:r>
          <w:r>
            <w:rPr>
              <w:rFonts w:ascii="宋体" w:hAnsi="宋体" w:eastAsia="宋体" w:cs="宋体"/>
              <w:b/>
              <w:bCs/>
              <w:color w:val="001010"/>
              <w:spacing w:val="-8"/>
              <w:sz w:val="26"/>
              <w:szCs w:val="26"/>
            </w:rPr>
            <w:t>容</w:t>
          </w:r>
          <w:r>
            <w:rPr>
              <w:rFonts w:ascii="宋体" w:hAnsi="宋体" w:eastAsia="宋体" w:cs="宋体"/>
              <w:color w:val="001010"/>
              <w:spacing w:val="-100"/>
              <w:sz w:val="26"/>
              <w:szCs w:val="26"/>
            </w:rPr>
            <w:t xml:space="preserve"> </w:t>
          </w:r>
          <w:r>
            <w:rPr>
              <w:rFonts w:ascii="宋体" w:hAnsi="宋体" w:eastAsia="宋体" w:cs="宋体"/>
              <w:color w:val="001010"/>
              <w:sz w:val="26"/>
              <w:szCs w:val="26"/>
            </w:rPr>
            <w:tab/>
          </w:r>
          <w:r>
            <w:fldChar w:fldCharType="begin"/>
          </w:r>
          <w:r>
            <w:instrText xml:space="preserve"> HYPERLINK \l "bookmark108" </w:instrText>
          </w:r>
          <w:r>
            <w:fldChar w:fldCharType="separate"/>
          </w:r>
          <w:r>
            <w:rPr>
              <w:rFonts w:ascii="Arial" w:hAnsi="Arial" w:eastAsia="Arial" w:cs="Arial"/>
              <w:b/>
              <w:bCs/>
              <w:color w:val="303030"/>
              <w:spacing w:val="-4"/>
              <w:sz w:val="26"/>
              <w:szCs w:val="26"/>
            </w:rPr>
            <w:t>14</w:t>
          </w:r>
          <w:r>
            <w:rPr>
              <w:rFonts w:ascii="Arial" w:hAnsi="Arial" w:eastAsia="Arial" w:cs="Arial"/>
              <w:b/>
              <w:bCs/>
              <w:color w:val="303030"/>
              <w:spacing w:val="-4"/>
              <w:sz w:val="26"/>
              <w:szCs w:val="26"/>
            </w:rPr>
            <w:fldChar w:fldCharType="end"/>
          </w:r>
        </w:p>
        <w:p w14:paraId="7AA85510">
          <w:pPr>
            <w:tabs>
              <w:tab w:val="right" w:leader="dot" w:pos="8327"/>
            </w:tabs>
            <w:spacing w:before="159" w:line="218" w:lineRule="auto"/>
            <w:ind w:left="979"/>
            <w:rPr>
              <w:rFonts w:ascii="Arial" w:hAnsi="Arial" w:eastAsia="Arial" w:cs="Arial"/>
              <w:sz w:val="26"/>
              <w:szCs w:val="26"/>
            </w:rPr>
          </w:pPr>
          <w:r>
            <w:rPr>
              <w:rFonts w:ascii="Times New Roman" w:hAnsi="Times New Roman" w:eastAsia="Times New Roman" w:cs="Times New Roman"/>
              <w:b/>
              <w:bCs/>
              <w:spacing w:val="-4"/>
              <w:sz w:val="26"/>
              <w:szCs w:val="26"/>
            </w:rPr>
            <w:t xml:space="preserve">2.5.2  </w:t>
          </w:r>
          <w:r>
            <w:rPr>
              <w:rFonts w:ascii="宋体" w:hAnsi="宋体" w:eastAsia="宋体" w:cs="宋体"/>
              <w:b/>
              <w:bCs/>
              <w:spacing w:val="-4"/>
              <w:sz w:val="26"/>
              <w:szCs w:val="26"/>
            </w:rPr>
            <w:t>风险评估</w:t>
          </w:r>
          <w:r>
            <w:rPr>
              <w:rFonts w:ascii="宋体" w:hAnsi="宋体" w:eastAsia="宋体" w:cs="宋体"/>
              <w:spacing w:val="-108"/>
              <w:sz w:val="26"/>
              <w:szCs w:val="26"/>
            </w:rPr>
            <w:t xml:space="preserve"> </w:t>
          </w:r>
          <w:r>
            <w:rPr>
              <w:rFonts w:ascii="宋体" w:hAnsi="宋体" w:eastAsia="宋体" w:cs="宋体"/>
              <w:sz w:val="26"/>
              <w:szCs w:val="26"/>
            </w:rPr>
            <w:tab/>
          </w:r>
          <w:r>
            <w:fldChar w:fldCharType="begin"/>
          </w:r>
          <w:r>
            <w:instrText xml:space="preserve"> HYPERLINK \l "bookmark109" </w:instrText>
          </w:r>
          <w:r>
            <w:fldChar w:fldCharType="separate"/>
          </w:r>
          <w:r>
            <w:rPr>
              <w:rFonts w:ascii="Arial" w:hAnsi="Arial" w:eastAsia="Arial" w:cs="Arial"/>
              <w:b/>
              <w:bCs/>
              <w:spacing w:val="-15"/>
              <w:sz w:val="26"/>
              <w:szCs w:val="26"/>
            </w:rPr>
            <w:t>15</w:t>
          </w:r>
          <w:r>
            <w:rPr>
              <w:rFonts w:ascii="Arial" w:hAnsi="Arial" w:eastAsia="Arial" w:cs="Arial"/>
              <w:b/>
              <w:bCs/>
              <w:spacing w:val="-15"/>
              <w:sz w:val="26"/>
              <w:szCs w:val="26"/>
            </w:rPr>
            <w:fldChar w:fldCharType="end"/>
          </w:r>
        </w:p>
        <w:p w14:paraId="431B2E18">
          <w:pPr>
            <w:tabs>
              <w:tab w:val="right" w:leader="dot" w:pos="8347"/>
            </w:tabs>
            <w:spacing w:before="205" w:line="210" w:lineRule="auto"/>
            <w:rPr>
              <w:rFonts w:ascii="Arial" w:hAnsi="Arial" w:eastAsia="Arial" w:cs="Arial"/>
              <w:sz w:val="26"/>
              <w:szCs w:val="26"/>
            </w:rPr>
          </w:pPr>
          <w:r>
            <w:rPr>
              <w:rFonts w:ascii="Times New Roman" w:hAnsi="Times New Roman" w:eastAsia="Times New Roman" w:cs="Times New Roman"/>
              <w:b/>
              <w:bCs/>
              <w:color w:val="102020"/>
              <w:spacing w:val="6"/>
              <w:sz w:val="23"/>
              <w:szCs w:val="23"/>
            </w:rPr>
            <w:t>3</w:t>
          </w:r>
          <w:r>
            <w:rPr>
              <w:rFonts w:ascii="Times New Roman" w:hAnsi="Times New Roman" w:eastAsia="Times New Roman" w:cs="Times New Roman"/>
              <w:b/>
              <w:bCs/>
              <w:color w:val="102020"/>
              <w:spacing w:val="-31"/>
              <w:sz w:val="23"/>
              <w:szCs w:val="23"/>
            </w:rPr>
            <w:t xml:space="preserve"> </w:t>
          </w:r>
          <w:r>
            <w:rPr>
              <w:rFonts w:ascii="宋体" w:hAnsi="宋体" w:eastAsia="宋体" w:cs="宋体"/>
              <w:b/>
              <w:bCs/>
              <w:color w:val="102020"/>
              <w:spacing w:val="6"/>
              <w:sz w:val="23"/>
              <w:szCs w:val="23"/>
            </w:rPr>
            <w:t>、</w:t>
          </w:r>
          <w:r>
            <w:rPr>
              <w:rFonts w:ascii="宋体" w:hAnsi="宋体" w:eastAsia="宋体" w:cs="宋体"/>
              <w:b/>
              <w:bCs/>
              <w:spacing w:val="6"/>
              <w:sz w:val="23"/>
              <w:szCs w:val="23"/>
            </w:rPr>
            <w:t>突</w:t>
          </w:r>
          <w:r>
            <w:rPr>
              <w:rFonts w:ascii="宋体" w:hAnsi="宋体" w:eastAsia="宋体" w:cs="宋体"/>
              <w:spacing w:val="-68"/>
              <w:sz w:val="23"/>
              <w:szCs w:val="23"/>
            </w:rPr>
            <w:t xml:space="preserve"> </w:t>
          </w:r>
          <w:r>
            <w:rPr>
              <w:rFonts w:ascii="宋体" w:hAnsi="宋体" w:eastAsia="宋体" w:cs="宋体"/>
              <w:b/>
              <w:bCs/>
              <w:color w:val="102020"/>
              <w:spacing w:val="6"/>
              <w:sz w:val="23"/>
              <w:szCs w:val="23"/>
            </w:rPr>
            <w:t>发环境事件调查与分析</w:t>
          </w:r>
          <w:r>
            <w:rPr>
              <w:rFonts w:ascii="宋体" w:hAnsi="宋体" w:eastAsia="宋体" w:cs="宋体"/>
              <w:color w:val="102020"/>
              <w:spacing w:val="-102"/>
              <w:sz w:val="23"/>
              <w:szCs w:val="23"/>
            </w:rPr>
            <w:t xml:space="preserve"> </w:t>
          </w:r>
          <w:r>
            <w:rPr>
              <w:rFonts w:ascii="宋体" w:hAnsi="宋体" w:eastAsia="宋体" w:cs="宋体"/>
              <w:color w:val="102020"/>
              <w:sz w:val="23"/>
              <w:szCs w:val="23"/>
            </w:rPr>
            <w:tab/>
          </w:r>
          <w:r>
            <w:fldChar w:fldCharType="begin"/>
          </w:r>
          <w:r>
            <w:instrText xml:space="preserve"> HYPERLINK \l "bookmark110" </w:instrText>
          </w:r>
          <w:r>
            <w:fldChar w:fldCharType="separate"/>
          </w:r>
          <w:r>
            <w:rPr>
              <w:rFonts w:ascii="Arial" w:hAnsi="Arial" w:eastAsia="Arial" w:cs="Arial"/>
              <w:b/>
              <w:bCs/>
              <w:color w:val="102020"/>
              <w:spacing w:val="-4"/>
              <w:sz w:val="26"/>
              <w:szCs w:val="26"/>
            </w:rPr>
            <w:t>19</w:t>
          </w:r>
          <w:r>
            <w:rPr>
              <w:rFonts w:ascii="Arial" w:hAnsi="Arial" w:eastAsia="Arial" w:cs="Arial"/>
              <w:b/>
              <w:bCs/>
              <w:color w:val="102020"/>
              <w:spacing w:val="-4"/>
              <w:sz w:val="26"/>
              <w:szCs w:val="26"/>
            </w:rPr>
            <w:fldChar w:fldCharType="end"/>
          </w:r>
        </w:p>
        <w:p w14:paraId="0BD15E9C">
          <w:pPr>
            <w:tabs>
              <w:tab w:val="right" w:leader="dot" w:pos="8317"/>
            </w:tabs>
            <w:spacing w:before="168" w:line="219" w:lineRule="auto"/>
            <w:ind w:left="489"/>
            <w:rPr>
              <w:rFonts w:ascii="Arial" w:hAnsi="Arial" w:eastAsia="Arial" w:cs="Arial"/>
              <w:sz w:val="26"/>
              <w:szCs w:val="26"/>
            </w:rPr>
          </w:pPr>
          <w:r>
            <w:rPr>
              <w:rFonts w:ascii="Times New Roman" w:hAnsi="Times New Roman" w:eastAsia="Times New Roman" w:cs="Times New Roman"/>
              <w:b/>
              <w:bCs/>
              <w:color w:val="405050"/>
              <w:spacing w:val="-14"/>
              <w:sz w:val="26"/>
              <w:szCs w:val="26"/>
            </w:rPr>
            <w:t>3.1</w:t>
          </w:r>
          <w:r>
            <w:rPr>
              <w:rFonts w:ascii="Times New Roman" w:hAnsi="Times New Roman" w:eastAsia="Times New Roman" w:cs="Times New Roman"/>
              <w:b/>
              <w:bCs/>
              <w:color w:val="405050"/>
              <w:spacing w:val="40"/>
              <w:w w:val="101"/>
              <w:sz w:val="26"/>
              <w:szCs w:val="26"/>
            </w:rPr>
            <w:t xml:space="preserve"> </w:t>
          </w:r>
          <w:r>
            <w:rPr>
              <w:rFonts w:ascii="宋体" w:hAnsi="宋体" w:eastAsia="宋体" w:cs="宋体"/>
              <w:b/>
              <w:bCs/>
              <w:color w:val="404040"/>
              <w:spacing w:val="-14"/>
              <w:sz w:val="26"/>
              <w:szCs w:val="26"/>
            </w:rPr>
            <w:t>突</w:t>
          </w:r>
          <w:r>
            <w:rPr>
              <w:rFonts w:ascii="宋体" w:hAnsi="宋体" w:eastAsia="宋体" w:cs="宋体"/>
              <w:b/>
              <w:bCs/>
              <w:color w:val="405050"/>
              <w:spacing w:val="-14"/>
              <w:sz w:val="26"/>
              <w:szCs w:val="26"/>
            </w:rPr>
            <w:t>发环境事件情景分析</w:t>
          </w:r>
          <w:r>
            <w:rPr>
              <w:rFonts w:ascii="宋体" w:hAnsi="宋体" w:eastAsia="宋体" w:cs="宋体"/>
              <w:color w:val="405050"/>
              <w:spacing w:val="-107"/>
              <w:sz w:val="26"/>
              <w:szCs w:val="26"/>
            </w:rPr>
            <w:t xml:space="preserve"> </w:t>
          </w:r>
          <w:r>
            <w:rPr>
              <w:rFonts w:ascii="宋体" w:hAnsi="宋体" w:eastAsia="宋体" w:cs="宋体"/>
              <w:color w:val="101010"/>
              <w:sz w:val="26"/>
              <w:szCs w:val="26"/>
            </w:rPr>
            <w:tab/>
          </w:r>
          <w:r>
            <w:fldChar w:fldCharType="begin"/>
          </w:r>
          <w:r>
            <w:instrText xml:space="preserve"> HYPERLINK \l "bookmark111" </w:instrText>
          </w:r>
          <w:r>
            <w:fldChar w:fldCharType="separate"/>
          </w:r>
          <w:r>
            <w:rPr>
              <w:rFonts w:ascii="Arial" w:hAnsi="Arial" w:eastAsia="Arial" w:cs="Arial"/>
              <w:b/>
              <w:bCs/>
              <w:color w:val="405050"/>
              <w:spacing w:val="-4"/>
              <w:sz w:val="26"/>
              <w:szCs w:val="26"/>
            </w:rPr>
            <w:t>19</w:t>
          </w:r>
          <w:r>
            <w:rPr>
              <w:rFonts w:ascii="Arial" w:hAnsi="Arial" w:eastAsia="Arial" w:cs="Arial"/>
              <w:b/>
              <w:bCs/>
              <w:color w:val="405050"/>
              <w:spacing w:val="-4"/>
              <w:sz w:val="26"/>
              <w:szCs w:val="26"/>
            </w:rPr>
            <w:fldChar w:fldCharType="end"/>
          </w:r>
        </w:p>
        <w:p w14:paraId="78B1A7F7">
          <w:pPr>
            <w:tabs>
              <w:tab w:val="right" w:leader="dot" w:pos="8317"/>
            </w:tabs>
            <w:spacing w:before="161" w:line="219" w:lineRule="auto"/>
            <w:ind w:left="489"/>
            <w:rPr>
              <w:rFonts w:ascii="Arial" w:hAnsi="Arial" w:eastAsia="Arial" w:cs="Arial"/>
              <w:sz w:val="26"/>
              <w:szCs w:val="26"/>
            </w:rPr>
          </w:pPr>
          <w:r>
            <w:rPr>
              <w:rFonts w:ascii="Times New Roman" w:hAnsi="Times New Roman" w:eastAsia="Times New Roman" w:cs="Times New Roman"/>
              <w:b/>
              <w:bCs/>
              <w:color w:val="405050"/>
              <w:spacing w:val="-16"/>
              <w:sz w:val="26"/>
              <w:szCs w:val="26"/>
            </w:rPr>
            <w:t>3.2</w:t>
          </w:r>
          <w:r>
            <w:rPr>
              <w:rFonts w:ascii="Times New Roman" w:hAnsi="Times New Roman" w:eastAsia="Times New Roman" w:cs="Times New Roman"/>
              <w:b/>
              <w:bCs/>
              <w:color w:val="405050"/>
              <w:spacing w:val="33"/>
              <w:sz w:val="26"/>
              <w:szCs w:val="26"/>
            </w:rPr>
            <w:t xml:space="preserve"> </w:t>
          </w:r>
          <w:r>
            <w:rPr>
              <w:rFonts w:ascii="宋体" w:hAnsi="宋体" w:eastAsia="宋体" w:cs="宋体"/>
              <w:b/>
              <w:bCs/>
              <w:color w:val="405050"/>
              <w:spacing w:val="-16"/>
              <w:sz w:val="26"/>
              <w:szCs w:val="26"/>
            </w:rPr>
            <w:t>石拐区饮用水水源地事故资料统计</w:t>
          </w:r>
          <w:r>
            <w:rPr>
              <w:rFonts w:ascii="宋体" w:hAnsi="宋体" w:eastAsia="宋体" w:cs="宋体"/>
              <w:color w:val="405050"/>
              <w:spacing w:val="-107"/>
              <w:sz w:val="26"/>
              <w:szCs w:val="26"/>
            </w:rPr>
            <w:t xml:space="preserve"> </w:t>
          </w:r>
          <w:r>
            <w:rPr>
              <w:rFonts w:ascii="宋体" w:hAnsi="宋体" w:eastAsia="宋体" w:cs="宋体"/>
              <w:color w:val="405050"/>
              <w:sz w:val="26"/>
              <w:szCs w:val="26"/>
            </w:rPr>
            <w:tab/>
          </w:r>
          <w:r>
            <w:rPr>
              <w:rFonts w:ascii="宋体" w:hAnsi="宋体" w:eastAsia="宋体" w:cs="宋体"/>
              <w:color w:val="405050"/>
              <w:spacing w:val="-24"/>
              <w:sz w:val="26"/>
              <w:szCs w:val="26"/>
            </w:rPr>
            <w:t xml:space="preserve"> </w:t>
          </w:r>
          <w:r>
            <w:fldChar w:fldCharType="begin"/>
          </w:r>
          <w:r>
            <w:instrText xml:space="preserve"> HYPERLINK \l "bookmark112" </w:instrText>
          </w:r>
          <w:r>
            <w:fldChar w:fldCharType="separate"/>
          </w:r>
          <w:r>
            <w:rPr>
              <w:rFonts w:ascii="Arial" w:hAnsi="Arial" w:eastAsia="Arial" w:cs="Arial"/>
              <w:b/>
              <w:bCs/>
              <w:color w:val="405050"/>
              <w:spacing w:val="-6"/>
              <w:sz w:val="26"/>
              <w:szCs w:val="26"/>
            </w:rPr>
            <w:t>19</w:t>
          </w:r>
          <w:r>
            <w:rPr>
              <w:rFonts w:ascii="Arial" w:hAnsi="Arial" w:eastAsia="Arial" w:cs="Arial"/>
              <w:b/>
              <w:bCs/>
              <w:color w:val="405050"/>
              <w:spacing w:val="-6"/>
              <w:sz w:val="26"/>
              <w:szCs w:val="26"/>
            </w:rPr>
            <w:fldChar w:fldCharType="end"/>
          </w:r>
        </w:p>
        <w:p w14:paraId="21E40217">
          <w:pPr>
            <w:tabs>
              <w:tab w:val="right" w:leader="dot" w:pos="8352"/>
            </w:tabs>
            <w:spacing w:before="193" w:line="211" w:lineRule="auto"/>
            <w:rPr>
              <w:rFonts w:ascii="Arial" w:hAnsi="Arial" w:eastAsia="Arial" w:cs="Arial"/>
              <w:sz w:val="26"/>
              <w:szCs w:val="26"/>
            </w:rPr>
          </w:pPr>
          <w:r>
            <w:rPr>
              <w:rFonts w:ascii="Times New Roman" w:hAnsi="Times New Roman" w:eastAsia="Times New Roman" w:cs="Times New Roman"/>
              <w:b/>
              <w:bCs/>
              <w:spacing w:val="11"/>
              <w:sz w:val="23"/>
              <w:szCs w:val="23"/>
            </w:rPr>
            <w:t>4</w:t>
          </w:r>
          <w:r>
            <w:rPr>
              <w:rFonts w:ascii="Times New Roman" w:hAnsi="Times New Roman" w:eastAsia="Times New Roman" w:cs="Times New Roman"/>
              <w:b/>
              <w:bCs/>
              <w:spacing w:val="-30"/>
              <w:sz w:val="23"/>
              <w:szCs w:val="23"/>
            </w:rPr>
            <w:t xml:space="preserve"> </w:t>
          </w:r>
          <w:r>
            <w:rPr>
              <w:rFonts w:ascii="宋体" w:hAnsi="宋体" w:eastAsia="宋体" w:cs="宋体"/>
              <w:b/>
              <w:bCs/>
              <w:spacing w:val="11"/>
              <w:sz w:val="23"/>
              <w:szCs w:val="23"/>
            </w:rPr>
            <w:t>、应急资源调查</w:t>
          </w:r>
          <w:r>
            <w:rPr>
              <w:rFonts w:ascii="宋体" w:hAnsi="宋体" w:eastAsia="宋体" w:cs="宋体"/>
              <w:spacing w:val="-104"/>
              <w:sz w:val="23"/>
              <w:szCs w:val="23"/>
            </w:rPr>
            <w:t xml:space="preserve"> </w:t>
          </w:r>
          <w:r>
            <w:rPr>
              <w:rFonts w:ascii="宋体" w:hAnsi="宋体" w:eastAsia="宋体" w:cs="宋体"/>
              <w:sz w:val="23"/>
              <w:szCs w:val="23"/>
            </w:rPr>
            <w:tab/>
          </w:r>
          <w:r>
            <w:fldChar w:fldCharType="begin"/>
          </w:r>
          <w:r>
            <w:instrText xml:space="preserve"> HYPERLINK \l "bookmark113" </w:instrText>
          </w:r>
          <w:r>
            <w:fldChar w:fldCharType="separate"/>
          </w:r>
          <w:r>
            <w:rPr>
              <w:rFonts w:ascii="Arial" w:hAnsi="Arial" w:eastAsia="Arial" w:cs="Arial"/>
              <w:b/>
              <w:bCs/>
              <w:spacing w:val="3"/>
              <w:sz w:val="26"/>
              <w:szCs w:val="26"/>
            </w:rPr>
            <w:t>20</w:t>
          </w:r>
          <w:r>
            <w:rPr>
              <w:rFonts w:ascii="Arial" w:hAnsi="Arial" w:eastAsia="Arial" w:cs="Arial"/>
              <w:b/>
              <w:bCs/>
              <w:spacing w:val="3"/>
              <w:sz w:val="26"/>
              <w:szCs w:val="26"/>
            </w:rPr>
            <w:fldChar w:fldCharType="end"/>
          </w:r>
        </w:p>
        <w:p w14:paraId="6BBE809F">
          <w:pPr>
            <w:tabs>
              <w:tab w:val="right" w:leader="dot" w:pos="8172"/>
            </w:tabs>
            <w:spacing w:before="165" w:line="220" w:lineRule="auto"/>
            <w:ind w:left="489"/>
            <w:rPr>
              <w:rFonts w:ascii="Arial" w:hAnsi="Arial" w:eastAsia="Arial" w:cs="Arial"/>
              <w:sz w:val="26"/>
              <w:szCs w:val="26"/>
            </w:rPr>
          </w:pPr>
          <w:r>
            <w:rPr>
              <w:rFonts w:ascii="Times New Roman" w:hAnsi="Times New Roman" w:eastAsia="Times New Roman" w:cs="Times New Roman"/>
              <w:b/>
              <w:bCs/>
              <w:spacing w:val="2"/>
              <w:sz w:val="26"/>
              <w:szCs w:val="26"/>
            </w:rPr>
            <w:t>4.1</w:t>
          </w:r>
          <w:r>
            <w:rPr>
              <w:rFonts w:ascii="Times New Roman" w:hAnsi="Times New Roman" w:eastAsia="Times New Roman" w:cs="Times New Roman"/>
              <w:b/>
              <w:bCs/>
              <w:spacing w:val="41"/>
              <w:sz w:val="26"/>
              <w:szCs w:val="26"/>
            </w:rPr>
            <w:t xml:space="preserve"> </w:t>
          </w:r>
          <w:r>
            <w:rPr>
              <w:rFonts w:ascii="宋体" w:hAnsi="宋体" w:eastAsia="宋体" w:cs="宋体"/>
              <w:b/>
              <w:bCs/>
              <w:spacing w:val="2"/>
              <w:sz w:val="26"/>
              <w:szCs w:val="26"/>
            </w:rPr>
            <w:t>应急队伍</w:t>
          </w:r>
          <w:r>
            <w:rPr>
              <w:rFonts w:ascii="宋体" w:hAnsi="宋体" w:eastAsia="宋体" w:cs="宋体"/>
              <w:spacing w:val="-107"/>
              <w:sz w:val="26"/>
              <w:szCs w:val="26"/>
            </w:rPr>
            <w:t xml:space="preserve"> </w:t>
          </w:r>
          <w:r>
            <w:rPr>
              <w:rFonts w:ascii="宋体" w:hAnsi="宋体" w:eastAsia="宋体" w:cs="宋体"/>
              <w:sz w:val="26"/>
              <w:szCs w:val="26"/>
            </w:rPr>
            <w:tab/>
          </w:r>
          <w:r>
            <w:fldChar w:fldCharType="begin"/>
          </w:r>
          <w:r>
            <w:instrText xml:space="preserve"> HYPERLINK \l "bookmark114" </w:instrText>
          </w:r>
          <w:r>
            <w:fldChar w:fldCharType="separate"/>
          </w:r>
          <w:r>
            <w:rPr>
              <w:rFonts w:ascii="Arial" w:hAnsi="Arial" w:eastAsia="Arial" w:cs="Arial"/>
              <w:b/>
              <w:bCs/>
              <w:spacing w:val="-1"/>
              <w:sz w:val="26"/>
              <w:szCs w:val="26"/>
            </w:rPr>
            <w:t>21</w:t>
          </w:r>
          <w:r>
            <w:rPr>
              <w:rFonts w:ascii="Arial" w:hAnsi="Arial" w:eastAsia="Arial" w:cs="Arial"/>
              <w:b/>
              <w:bCs/>
              <w:spacing w:val="-1"/>
              <w:sz w:val="26"/>
              <w:szCs w:val="26"/>
            </w:rPr>
            <w:fldChar w:fldCharType="end"/>
          </w:r>
        </w:p>
        <w:p w14:paraId="02E7E058">
          <w:pPr>
            <w:tabs>
              <w:tab w:val="right" w:leader="dot" w:pos="8342"/>
            </w:tabs>
            <w:spacing w:before="151" w:line="221" w:lineRule="auto"/>
            <w:ind w:left="489"/>
            <w:rPr>
              <w:rFonts w:ascii="Arial" w:hAnsi="Arial" w:eastAsia="Arial" w:cs="Arial"/>
              <w:sz w:val="26"/>
              <w:szCs w:val="26"/>
            </w:rPr>
          </w:pPr>
          <w:r>
            <w:rPr>
              <w:rFonts w:ascii="Times New Roman" w:hAnsi="Times New Roman" w:eastAsia="Times New Roman" w:cs="Times New Roman"/>
              <w:b/>
              <w:bCs/>
              <w:spacing w:val="-10"/>
              <w:sz w:val="26"/>
              <w:szCs w:val="26"/>
            </w:rPr>
            <w:t>4.2</w:t>
          </w:r>
          <w:r>
            <w:rPr>
              <w:rFonts w:ascii="Times New Roman" w:hAnsi="Times New Roman" w:eastAsia="Times New Roman" w:cs="Times New Roman"/>
              <w:b/>
              <w:bCs/>
              <w:spacing w:val="43"/>
              <w:sz w:val="26"/>
              <w:szCs w:val="26"/>
            </w:rPr>
            <w:t xml:space="preserve"> </w:t>
          </w:r>
          <w:r>
            <w:rPr>
              <w:rFonts w:ascii="宋体" w:hAnsi="宋体" w:eastAsia="宋体" w:cs="宋体"/>
              <w:b/>
              <w:bCs/>
              <w:spacing w:val="-10"/>
              <w:sz w:val="26"/>
              <w:szCs w:val="26"/>
            </w:rPr>
            <w:t>应急物资</w:t>
          </w:r>
          <w:r>
            <w:rPr>
              <w:rFonts w:ascii="宋体" w:hAnsi="宋体" w:eastAsia="宋体" w:cs="宋体"/>
              <w:spacing w:val="-115"/>
              <w:sz w:val="26"/>
              <w:szCs w:val="26"/>
            </w:rPr>
            <w:t xml:space="preserve"> </w:t>
          </w:r>
          <w:r>
            <w:rPr>
              <w:rFonts w:ascii="宋体" w:hAnsi="宋体" w:eastAsia="宋体" w:cs="宋体"/>
              <w:sz w:val="26"/>
              <w:szCs w:val="26"/>
            </w:rPr>
            <w:tab/>
          </w:r>
          <w:r>
            <w:fldChar w:fldCharType="begin"/>
          </w:r>
          <w:r>
            <w:instrText xml:space="preserve"> HYPERLINK \l "bookmark115" </w:instrText>
          </w:r>
          <w:r>
            <w:fldChar w:fldCharType="separate"/>
          </w:r>
          <w:r>
            <w:rPr>
              <w:rFonts w:ascii="Arial" w:hAnsi="Arial" w:eastAsia="Arial" w:cs="Arial"/>
              <w:b/>
              <w:bCs/>
              <w:spacing w:val="-1"/>
              <w:sz w:val="26"/>
              <w:szCs w:val="26"/>
            </w:rPr>
            <w:t>21</w:t>
          </w:r>
          <w:r>
            <w:rPr>
              <w:rFonts w:ascii="Arial" w:hAnsi="Arial" w:eastAsia="Arial" w:cs="Arial"/>
              <w:b/>
              <w:bCs/>
              <w:spacing w:val="-1"/>
              <w:sz w:val="26"/>
              <w:szCs w:val="26"/>
            </w:rPr>
            <w:fldChar w:fldCharType="end"/>
          </w:r>
        </w:p>
        <w:p w14:paraId="55FD9FEB">
          <w:pPr>
            <w:tabs>
              <w:tab w:val="right" w:leader="dot" w:pos="8352"/>
            </w:tabs>
            <w:spacing w:before="196" w:line="211" w:lineRule="auto"/>
            <w:rPr>
              <w:rFonts w:ascii="Arial" w:hAnsi="Arial" w:eastAsia="Arial" w:cs="Arial"/>
              <w:sz w:val="26"/>
              <w:szCs w:val="26"/>
            </w:rPr>
          </w:pP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22"/>
              <w:sz w:val="23"/>
              <w:szCs w:val="23"/>
            </w:rPr>
            <w:t xml:space="preserve"> </w:t>
          </w:r>
          <w:r>
            <w:rPr>
              <w:rFonts w:ascii="宋体" w:hAnsi="宋体" w:eastAsia="宋体" w:cs="宋体"/>
              <w:b/>
              <w:bCs/>
              <w:spacing w:val="8"/>
              <w:sz w:val="23"/>
              <w:szCs w:val="23"/>
            </w:rPr>
            <w:t>、环境风险防控与应急措施差距分析</w:t>
          </w:r>
          <w:r>
            <w:rPr>
              <w:rFonts w:ascii="宋体" w:hAnsi="宋体" w:eastAsia="宋体" w:cs="宋体"/>
              <w:spacing w:val="-102"/>
              <w:sz w:val="23"/>
              <w:szCs w:val="23"/>
            </w:rPr>
            <w:t xml:space="preserve"> </w:t>
          </w:r>
          <w:r>
            <w:rPr>
              <w:rFonts w:ascii="宋体" w:hAnsi="宋体" w:eastAsia="宋体" w:cs="宋体"/>
              <w:sz w:val="23"/>
              <w:szCs w:val="23"/>
            </w:rPr>
            <w:tab/>
          </w:r>
          <w:r>
            <w:fldChar w:fldCharType="begin"/>
          </w:r>
          <w:r>
            <w:instrText xml:space="preserve"> HYPERLINK \l "bookmark116" </w:instrText>
          </w:r>
          <w:r>
            <w:fldChar w:fldCharType="separate"/>
          </w:r>
          <w:r>
            <w:rPr>
              <w:rFonts w:ascii="Arial" w:hAnsi="Arial" w:eastAsia="Arial" w:cs="Arial"/>
              <w:b/>
              <w:bCs/>
              <w:sz w:val="26"/>
              <w:szCs w:val="26"/>
            </w:rPr>
            <w:t>21</w:t>
          </w:r>
          <w:r>
            <w:rPr>
              <w:rFonts w:ascii="Arial" w:hAnsi="Arial" w:eastAsia="Arial" w:cs="Arial"/>
              <w:b/>
              <w:bCs/>
              <w:sz w:val="26"/>
              <w:szCs w:val="26"/>
            </w:rPr>
            <w:fldChar w:fldCharType="end"/>
          </w:r>
        </w:p>
        <w:p w14:paraId="2FB0EB46">
          <w:pPr>
            <w:tabs>
              <w:tab w:val="right" w:leader="dot" w:pos="8332"/>
            </w:tabs>
            <w:spacing w:before="196" w:line="211" w:lineRule="auto"/>
            <w:rPr>
              <w:rFonts w:ascii="Arial" w:hAnsi="Arial" w:eastAsia="Arial" w:cs="Arial"/>
              <w:sz w:val="26"/>
              <w:szCs w:val="26"/>
            </w:rPr>
          </w:pPr>
          <w:r>
            <w:rPr>
              <w:rFonts w:ascii="Times New Roman" w:hAnsi="Times New Roman" w:eastAsia="Times New Roman" w:cs="Times New Roman"/>
              <w:b/>
              <w:bCs/>
              <w:color w:val="001010"/>
              <w:spacing w:val="2"/>
              <w:sz w:val="23"/>
              <w:szCs w:val="23"/>
            </w:rPr>
            <w:t>6</w:t>
          </w:r>
          <w:r>
            <w:rPr>
              <w:rFonts w:ascii="Times New Roman" w:hAnsi="Times New Roman" w:eastAsia="Times New Roman" w:cs="Times New Roman"/>
              <w:b/>
              <w:bCs/>
              <w:color w:val="001010"/>
              <w:spacing w:val="-30"/>
              <w:sz w:val="23"/>
              <w:szCs w:val="23"/>
            </w:rPr>
            <w:t xml:space="preserve"> </w:t>
          </w:r>
          <w:r>
            <w:rPr>
              <w:rFonts w:ascii="宋体" w:hAnsi="宋体" w:eastAsia="宋体" w:cs="宋体"/>
              <w:b/>
              <w:bCs/>
              <w:color w:val="001010"/>
              <w:spacing w:val="2"/>
              <w:sz w:val="23"/>
              <w:szCs w:val="23"/>
            </w:rPr>
            <w:t>、</w:t>
          </w:r>
          <w:r>
            <w:rPr>
              <w:rFonts w:ascii="宋体" w:hAnsi="宋体" w:eastAsia="宋体" w:cs="宋体"/>
              <w:b/>
              <w:bCs/>
              <w:spacing w:val="2"/>
              <w:sz w:val="23"/>
              <w:szCs w:val="23"/>
            </w:rPr>
            <w:t>应</w:t>
          </w:r>
          <w:r>
            <w:rPr>
              <w:rFonts w:ascii="宋体" w:hAnsi="宋体" w:eastAsia="宋体" w:cs="宋体"/>
              <w:spacing w:val="-56"/>
              <w:sz w:val="23"/>
              <w:szCs w:val="23"/>
            </w:rPr>
            <w:t xml:space="preserve"> </w:t>
          </w:r>
          <w:r>
            <w:rPr>
              <w:rFonts w:ascii="宋体" w:hAnsi="宋体" w:eastAsia="宋体" w:cs="宋体"/>
              <w:b/>
              <w:bCs/>
              <w:color w:val="001010"/>
              <w:spacing w:val="2"/>
              <w:sz w:val="23"/>
              <w:szCs w:val="23"/>
            </w:rPr>
            <w:t>急预案衔接</w:t>
          </w:r>
          <w:r>
            <w:rPr>
              <w:rFonts w:ascii="宋体" w:hAnsi="宋体" w:eastAsia="宋体" w:cs="宋体"/>
              <w:color w:val="001010"/>
              <w:spacing w:val="-91"/>
              <w:sz w:val="23"/>
              <w:szCs w:val="23"/>
            </w:rPr>
            <w:t xml:space="preserve"> </w:t>
          </w:r>
          <w:r>
            <w:rPr>
              <w:rFonts w:ascii="宋体" w:hAnsi="宋体" w:eastAsia="宋体" w:cs="宋体"/>
              <w:sz w:val="23"/>
              <w:szCs w:val="23"/>
            </w:rPr>
            <w:tab/>
          </w:r>
          <w:r>
            <w:fldChar w:fldCharType="begin"/>
          </w:r>
          <w:r>
            <w:instrText xml:space="preserve"> HYPERLINK \l "bookmark117" </w:instrText>
          </w:r>
          <w:r>
            <w:fldChar w:fldCharType="separate"/>
          </w:r>
          <w:r>
            <w:rPr>
              <w:rFonts w:ascii="Arial" w:hAnsi="Arial" w:eastAsia="Arial" w:cs="Arial"/>
              <w:b/>
              <w:bCs/>
              <w:color w:val="001010"/>
              <w:spacing w:val="-4"/>
              <w:sz w:val="26"/>
              <w:szCs w:val="26"/>
            </w:rPr>
            <w:t>22</w:t>
          </w:r>
          <w:r>
            <w:rPr>
              <w:rFonts w:ascii="Arial" w:hAnsi="Arial" w:eastAsia="Arial" w:cs="Arial"/>
              <w:b/>
              <w:bCs/>
              <w:color w:val="001010"/>
              <w:spacing w:val="-4"/>
              <w:sz w:val="26"/>
              <w:szCs w:val="26"/>
            </w:rPr>
            <w:fldChar w:fldCharType="end"/>
          </w:r>
        </w:p>
      </w:sdtContent>
    </w:sdt>
    <w:p w14:paraId="535B054F">
      <w:pPr>
        <w:spacing w:line="211" w:lineRule="auto"/>
        <w:rPr>
          <w:rFonts w:ascii="Arial" w:hAnsi="Arial" w:eastAsia="Arial" w:cs="Arial"/>
          <w:sz w:val="26"/>
          <w:szCs w:val="26"/>
        </w:rPr>
        <w:sectPr>
          <w:pgSz w:w="11910" w:h="16850"/>
          <w:pgMar w:top="1432" w:right="1786" w:bottom="400" w:left="1660" w:header="0" w:footer="0" w:gutter="0"/>
          <w:cols w:space="720" w:num="1"/>
        </w:sectPr>
      </w:pPr>
    </w:p>
    <w:p w14:paraId="2907337D">
      <w:pPr>
        <w:spacing w:line="273" w:lineRule="auto"/>
        <w:rPr>
          <w:rFonts w:ascii="Arial"/>
          <w:sz w:val="21"/>
        </w:rPr>
      </w:pPr>
    </w:p>
    <w:p w14:paraId="5140A0A6">
      <w:pPr>
        <w:spacing w:line="274" w:lineRule="auto"/>
        <w:rPr>
          <w:rFonts w:ascii="Arial"/>
          <w:sz w:val="21"/>
        </w:rPr>
      </w:pPr>
    </w:p>
    <w:p w14:paraId="12456432">
      <w:pPr>
        <w:spacing w:line="274" w:lineRule="auto"/>
        <w:rPr>
          <w:rFonts w:ascii="Arial"/>
          <w:sz w:val="21"/>
        </w:rPr>
      </w:pPr>
    </w:p>
    <w:p w14:paraId="7513E48B">
      <w:pPr>
        <w:spacing w:line="274" w:lineRule="auto"/>
        <w:rPr>
          <w:rFonts w:ascii="Arial"/>
          <w:sz w:val="21"/>
        </w:rPr>
      </w:pPr>
    </w:p>
    <w:p w14:paraId="4CBBBDAA">
      <w:pPr>
        <w:spacing w:line="274" w:lineRule="auto"/>
        <w:rPr>
          <w:rFonts w:ascii="Arial"/>
          <w:sz w:val="21"/>
        </w:rPr>
      </w:pPr>
    </w:p>
    <w:p w14:paraId="7FDF85F1">
      <w:pPr>
        <w:spacing w:line="274" w:lineRule="auto"/>
        <w:rPr>
          <w:rFonts w:ascii="Arial"/>
          <w:sz w:val="21"/>
        </w:rPr>
      </w:pPr>
    </w:p>
    <w:p w14:paraId="530F7060">
      <w:pPr>
        <w:spacing w:before="156" w:line="231" w:lineRule="auto"/>
        <w:ind w:left="1449" w:right="922" w:hanging="650"/>
        <w:rPr>
          <w:rFonts w:ascii="宋体" w:hAnsi="宋体" w:eastAsia="宋体" w:cs="宋体"/>
          <w:sz w:val="48"/>
          <w:szCs w:val="48"/>
        </w:rPr>
      </w:pPr>
      <w:r>
        <w:rPr>
          <w:rFonts w:ascii="宋体" w:hAnsi="宋体" w:eastAsia="宋体" w:cs="宋体"/>
          <w:b/>
          <w:bCs/>
          <w:color w:val="505060"/>
          <w:spacing w:val="-45"/>
          <w:sz w:val="48"/>
          <w:szCs w:val="48"/>
        </w:rPr>
        <w:t>包头市石拐区集中式饮用水水源地</w:t>
      </w:r>
      <w:r>
        <w:rPr>
          <w:rFonts w:ascii="宋体" w:hAnsi="宋体" w:eastAsia="宋体" w:cs="宋体"/>
          <w:color w:val="505060"/>
          <w:spacing w:val="13"/>
          <w:sz w:val="48"/>
          <w:szCs w:val="48"/>
        </w:rPr>
        <w:t xml:space="preserve"> </w:t>
      </w:r>
      <w:r>
        <w:rPr>
          <w:rFonts w:ascii="宋体" w:hAnsi="宋体" w:eastAsia="宋体" w:cs="宋体"/>
          <w:b/>
          <w:bCs/>
          <w:color w:val="505060"/>
          <w:spacing w:val="-41"/>
          <w:sz w:val="48"/>
          <w:szCs w:val="48"/>
        </w:rPr>
        <w:t>突发环境事件风险评估报告</w:t>
      </w:r>
    </w:p>
    <w:p w14:paraId="2BAE2021">
      <w:pPr>
        <w:spacing w:line="244" w:lineRule="auto"/>
        <w:rPr>
          <w:rFonts w:ascii="Arial"/>
          <w:sz w:val="21"/>
        </w:rPr>
      </w:pPr>
    </w:p>
    <w:p w14:paraId="301BAFE3">
      <w:pPr>
        <w:spacing w:line="244" w:lineRule="auto"/>
        <w:rPr>
          <w:rFonts w:ascii="Arial"/>
          <w:sz w:val="21"/>
        </w:rPr>
      </w:pPr>
    </w:p>
    <w:p w14:paraId="721486D0">
      <w:pPr>
        <w:spacing w:line="245" w:lineRule="auto"/>
        <w:rPr>
          <w:rFonts w:ascii="Arial"/>
          <w:sz w:val="21"/>
        </w:rPr>
      </w:pPr>
    </w:p>
    <w:p w14:paraId="3FA12AAA">
      <w:pPr>
        <w:spacing w:line="245" w:lineRule="auto"/>
        <w:rPr>
          <w:rFonts w:ascii="Arial"/>
          <w:sz w:val="21"/>
        </w:rPr>
      </w:pPr>
    </w:p>
    <w:p w14:paraId="45268AB5">
      <w:pPr>
        <w:spacing w:line="245" w:lineRule="auto"/>
        <w:rPr>
          <w:rFonts w:ascii="Arial"/>
          <w:sz w:val="21"/>
        </w:rPr>
      </w:pPr>
    </w:p>
    <w:p w14:paraId="2AEC9FD4">
      <w:pPr>
        <w:spacing w:line="245" w:lineRule="auto"/>
        <w:rPr>
          <w:rFonts w:ascii="Arial"/>
          <w:sz w:val="21"/>
        </w:rPr>
      </w:pPr>
    </w:p>
    <w:p w14:paraId="02E17A4E">
      <w:pPr>
        <w:spacing w:line="245" w:lineRule="auto"/>
        <w:rPr>
          <w:rFonts w:ascii="Arial"/>
          <w:sz w:val="21"/>
        </w:rPr>
      </w:pPr>
    </w:p>
    <w:p w14:paraId="45EEA9E0">
      <w:pPr>
        <w:spacing w:line="245" w:lineRule="auto"/>
        <w:rPr>
          <w:rFonts w:ascii="Arial"/>
          <w:sz w:val="21"/>
        </w:rPr>
      </w:pPr>
    </w:p>
    <w:p w14:paraId="33046DFA">
      <w:pPr>
        <w:spacing w:line="245" w:lineRule="auto"/>
        <w:rPr>
          <w:rFonts w:ascii="Arial"/>
          <w:sz w:val="21"/>
        </w:rPr>
      </w:pPr>
    </w:p>
    <w:p w14:paraId="3D82A17E">
      <w:pPr>
        <w:spacing w:line="245" w:lineRule="auto"/>
        <w:rPr>
          <w:rFonts w:ascii="Arial"/>
          <w:sz w:val="21"/>
        </w:rPr>
      </w:pPr>
    </w:p>
    <w:p w14:paraId="1A83C739">
      <w:pPr>
        <w:spacing w:line="245" w:lineRule="auto"/>
        <w:rPr>
          <w:rFonts w:ascii="Arial"/>
          <w:sz w:val="21"/>
        </w:rPr>
      </w:pPr>
    </w:p>
    <w:p w14:paraId="01484363">
      <w:pPr>
        <w:spacing w:line="245" w:lineRule="auto"/>
        <w:rPr>
          <w:rFonts w:ascii="Arial"/>
          <w:sz w:val="21"/>
        </w:rPr>
      </w:pPr>
    </w:p>
    <w:p w14:paraId="101C16BB">
      <w:pPr>
        <w:spacing w:line="245" w:lineRule="auto"/>
        <w:rPr>
          <w:rFonts w:ascii="Arial"/>
          <w:sz w:val="21"/>
        </w:rPr>
      </w:pPr>
    </w:p>
    <w:p w14:paraId="79E562B8">
      <w:pPr>
        <w:spacing w:line="245" w:lineRule="auto"/>
        <w:rPr>
          <w:rFonts w:ascii="Arial"/>
          <w:sz w:val="21"/>
        </w:rPr>
      </w:pPr>
    </w:p>
    <w:p w14:paraId="5113E3A6">
      <w:pPr>
        <w:spacing w:line="245" w:lineRule="auto"/>
        <w:rPr>
          <w:rFonts w:ascii="Arial"/>
          <w:sz w:val="21"/>
        </w:rPr>
      </w:pPr>
    </w:p>
    <w:p w14:paraId="6475E0CE">
      <w:pPr>
        <w:spacing w:line="245" w:lineRule="auto"/>
        <w:rPr>
          <w:rFonts w:ascii="Arial"/>
          <w:sz w:val="21"/>
        </w:rPr>
      </w:pPr>
    </w:p>
    <w:p w14:paraId="01E041A2">
      <w:pPr>
        <w:spacing w:line="245" w:lineRule="auto"/>
        <w:rPr>
          <w:rFonts w:ascii="Arial"/>
          <w:sz w:val="21"/>
        </w:rPr>
      </w:pPr>
    </w:p>
    <w:p w14:paraId="1F25738A">
      <w:pPr>
        <w:spacing w:line="245" w:lineRule="auto"/>
        <w:rPr>
          <w:rFonts w:ascii="Arial"/>
          <w:sz w:val="21"/>
        </w:rPr>
      </w:pPr>
    </w:p>
    <w:p w14:paraId="2AC1D1B6">
      <w:pPr>
        <w:spacing w:line="245" w:lineRule="auto"/>
        <w:rPr>
          <w:rFonts w:ascii="Arial"/>
          <w:sz w:val="21"/>
        </w:rPr>
      </w:pPr>
    </w:p>
    <w:p w14:paraId="60E87017">
      <w:pPr>
        <w:spacing w:line="245" w:lineRule="auto"/>
        <w:rPr>
          <w:rFonts w:ascii="Arial"/>
          <w:sz w:val="21"/>
        </w:rPr>
      </w:pPr>
    </w:p>
    <w:p w14:paraId="40E7B1BF">
      <w:pPr>
        <w:spacing w:line="245" w:lineRule="auto"/>
        <w:rPr>
          <w:rFonts w:ascii="Arial"/>
          <w:sz w:val="21"/>
        </w:rPr>
      </w:pPr>
    </w:p>
    <w:p w14:paraId="00D33F54">
      <w:pPr>
        <w:spacing w:line="245" w:lineRule="auto"/>
        <w:rPr>
          <w:rFonts w:ascii="Arial"/>
          <w:sz w:val="21"/>
        </w:rPr>
      </w:pPr>
    </w:p>
    <w:p w14:paraId="5F4B8844">
      <w:pPr>
        <w:spacing w:line="245" w:lineRule="auto"/>
        <w:rPr>
          <w:rFonts w:ascii="Arial"/>
          <w:sz w:val="21"/>
        </w:rPr>
      </w:pPr>
    </w:p>
    <w:p w14:paraId="1A88D77F">
      <w:pPr>
        <w:spacing w:line="245" w:lineRule="auto"/>
        <w:rPr>
          <w:rFonts w:ascii="Arial"/>
          <w:sz w:val="21"/>
        </w:rPr>
      </w:pPr>
    </w:p>
    <w:p w14:paraId="3AB896CE">
      <w:pPr>
        <w:spacing w:line="245" w:lineRule="auto"/>
        <w:rPr>
          <w:rFonts w:ascii="Arial"/>
          <w:sz w:val="21"/>
        </w:rPr>
      </w:pPr>
    </w:p>
    <w:p w14:paraId="7498145F">
      <w:pPr>
        <w:spacing w:line="245" w:lineRule="auto"/>
        <w:rPr>
          <w:rFonts w:ascii="Arial"/>
          <w:sz w:val="21"/>
        </w:rPr>
      </w:pPr>
    </w:p>
    <w:p w14:paraId="04C5BC99">
      <w:pPr>
        <w:spacing w:line="245" w:lineRule="auto"/>
        <w:rPr>
          <w:rFonts w:ascii="Arial"/>
          <w:sz w:val="21"/>
        </w:rPr>
      </w:pPr>
    </w:p>
    <w:p w14:paraId="62B6354A">
      <w:pPr>
        <w:spacing w:line="245" w:lineRule="auto"/>
        <w:rPr>
          <w:rFonts w:ascii="Arial"/>
          <w:sz w:val="21"/>
        </w:rPr>
      </w:pPr>
    </w:p>
    <w:p w14:paraId="0FC8AFC9">
      <w:pPr>
        <w:spacing w:line="245" w:lineRule="auto"/>
        <w:rPr>
          <w:rFonts w:ascii="Arial"/>
          <w:sz w:val="21"/>
        </w:rPr>
      </w:pPr>
    </w:p>
    <w:p w14:paraId="674C68E2">
      <w:pPr>
        <w:spacing w:line="245" w:lineRule="auto"/>
        <w:rPr>
          <w:rFonts w:ascii="Arial"/>
          <w:sz w:val="21"/>
        </w:rPr>
      </w:pPr>
    </w:p>
    <w:p w14:paraId="305F531C">
      <w:pPr>
        <w:spacing w:line="245" w:lineRule="auto"/>
        <w:rPr>
          <w:rFonts w:ascii="Arial"/>
          <w:sz w:val="21"/>
        </w:rPr>
      </w:pPr>
    </w:p>
    <w:p w14:paraId="1859B524">
      <w:pPr>
        <w:spacing w:line="245" w:lineRule="auto"/>
        <w:rPr>
          <w:rFonts w:ascii="Arial"/>
          <w:sz w:val="21"/>
        </w:rPr>
      </w:pPr>
    </w:p>
    <w:p w14:paraId="6AEDC9C0">
      <w:pPr>
        <w:spacing w:line="245" w:lineRule="auto"/>
        <w:rPr>
          <w:rFonts w:ascii="Arial"/>
          <w:sz w:val="21"/>
        </w:rPr>
      </w:pPr>
    </w:p>
    <w:p w14:paraId="2000FBC1">
      <w:pPr>
        <w:spacing w:before="100" w:line="219" w:lineRule="auto"/>
        <w:ind w:left="2707"/>
        <w:rPr>
          <w:rFonts w:ascii="宋体" w:hAnsi="宋体" w:eastAsia="宋体" w:cs="宋体"/>
          <w:sz w:val="31"/>
          <w:szCs w:val="31"/>
        </w:rPr>
      </w:pPr>
      <w:r>
        <w:rPr>
          <w:rFonts w:ascii="宋体" w:hAnsi="宋体" w:eastAsia="宋体" w:cs="宋体"/>
          <w:b/>
          <w:bCs/>
          <w:color w:val="505060"/>
          <w:spacing w:val="-28"/>
          <w:sz w:val="31"/>
          <w:szCs w:val="31"/>
        </w:rPr>
        <w:t>包头市石拐区人民政府</w:t>
      </w:r>
    </w:p>
    <w:p w14:paraId="18D8660A">
      <w:pPr>
        <w:spacing w:before="268" w:line="219" w:lineRule="auto"/>
        <w:ind w:left="2993"/>
        <w:rPr>
          <w:rFonts w:ascii="宋体" w:hAnsi="宋体" w:eastAsia="宋体" w:cs="宋体"/>
          <w:sz w:val="31"/>
          <w:szCs w:val="31"/>
        </w:rPr>
      </w:pPr>
      <w:r>
        <w:rPr>
          <w:rFonts w:ascii="宋体" w:hAnsi="宋体" w:eastAsia="宋体" w:cs="宋体"/>
          <w:color w:val="505060"/>
          <w:spacing w:val="12"/>
          <w:sz w:val="31"/>
          <w:szCs w:val="31"/>
        </w:rPr>
        <w:t>二0二0年十二月</w:t>
      </w:r>
    </w:p>
    <w:p w14:paraId="54943E8C">
      <w:pPr>
        <w:spacing w:line="219" w:lineRule="auto"/>
        <w:rPr>
          <w:rFonts w:ascii="宋体" w:hAnsi="宋体" w:eastAsia="宋体" w:cs="宋体"/>
          <w:sz w:val="31"/>
          <w:szCs w:val="31"/>
        </w:rPr>
        <w:sectPr>
          <w:pgSz w:w="11910" w:h="16850"/>
          <w:pgMar w:top="1432" w:right="1786" w:bottom="400" w:left="1786" w:header="0" w:footer="0" w:gutter="0"/>
          <w:cols w:space="720" w:num="1"/>
        </w:sectPr>
      </w:pPr>
    </w:p>
    <w:p w14:paraId="50276E26">
      <w:pPr>
        <w:rPr>
          <w:rFonts w:ascii="Arial"/>
          <w:sz w:val="21"/>
        </w:rPr>
      </w:pPr>
    </w:p>
    <w:p w14:paraId="547ADFE9">
      <w:pPr>
        <w:rPr>
          <w:rFonts w:ascii="Arial" w:hAnsi="Arial" w:eastAsia="Arial" w:cs="Arial"/>
          <w:sz w:val="21"/>
          <w:szCs w:val="21"/>
        </w:rPr>
        <w:sectPr>
          <w:headerReference r:id="rId67" w:type="default"/>
          <w:pgSz w:w="11910" w:h="16850"/>
          <w:pgMar w:top="0" w:right="0" w:bottom="0" w:left="0" w:header="0" w:footer="0" w:gutter="0"/>
          <w:cols w:space="720" w:num="1"/>
        </w:sectPr>
      </w:pPr>
    </w:p>
    <w:p w14:paraId="62D6612C">
      <w:pPr>
        <w:spacing w:before="77"/>
      </w:pPr>
    </w:p>
    <w:p w14:paraId="2C08B317">
      <w:pPr>
        <w:spacing w:before="77"/>
      </w:pPr>
    </w:p>
    <w:p w14:paraId="506AEC0D">
      <w:pPr>
        <w:spacing w:before="76"/>
      </w:pPr>
    </w:p>
    <w:tbl>
      <w:tblPr>
        <w:tblStyle w:val="5"/>
        <w:tblW w:w="8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909"/>
        <w:gridCol w:w="1269"/>
        <w:gridCol w:w="1568"/>
        <w:gridCol w:w="2417"/>
        <w:gridCol w:w="2123"/>
      </w:tblGrid>
      <w:tr w14:paraId="0A605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64" w:type="dxa"/>
            <w:vAlign w:val="top"/>
          </w:tcPr>
          <w:p w14:paraId="03F41558">
            <w:pPr>
              <w:pStyle w:val="6"/>
              <w:spacing w:before="51" w:line="213" w:lineRule="auto"/>
              <w:ind w:left="117"/>
            </w:pPr>
            <w:r>
              <w:rPr>
                <w:b/>
                <w:bCs/>
                <w:spacing w:val="-5"/>
              </w:rPr>
              <w:t>序号</w:t>
            </w:r>
          </w:p>
        </w:tc>
        <w:tc>
          <w:tcPr>
            <w:tcW w:w="909" w:type="dxa"/>
            <w:vAlign w:val="top"/>
          </w:tcPr>
          <w:p w14:paraId="5100FEBA">
            <w:pPr>
              <w:pStyle w:val="6"/>
              <w:spacing w:before="50" w:line="214" w:lineRule="auto"/>
              <w:ind w:left="233"/>
            </w:pPr>
            <w:r>
              <w:rPr>
                <w:b/>
                <w:bCs/>
                <w:spacing w:val="8"/>
              </w:rPr>
              <w:t>姓名</w:t>
            </w:r>
          </w:p>
        </w:tc>
        <w:tc>
          <w:tcPr>
            <w:tcW w:w="1269" w:type="dxa"/>
            <w:vAlign w:val="top"/>
          </w:tcPr>
          <w:p w14:paraId="73C316F8">
            <w:pPr>
              <w:pStyle w:val="6"/>
              <w:spacing w:before="52" w:line="212" w:lineRule="auto"/>
              <w:ind w:left="414"/>
            </w:pPr>
            <w:r>
              <w:rPr>
                <w:b/>
                <w:bCs/>
                <w:spacing w:val="-6"/>
              </w:rPr>
              <w:t>职</w:t>
            </w:r>
            <w:r>
              <w:rPr>
                <w:b/>
                <w:bCs/>
                <w:color w:val="404050"/>
                <w:spacing w:val="-6"/>
              </w:rPr>
              <w:t>称</w:t>
            </w:r>
          </w:p>
        </w:tc>
        <w:tc>
          <w:tcPr>
            <w:tcW w:w="1568" w:type="dxa"/>
            <w:vAlign w:val="top"/>
          </w:tcPr>
          <w:p w14:paraId="486D87B5">
            <w:pPr>
              <w:pStyle w:val="6"/>
              <w:spacing w:before="51" w:line="213" w:lineRule="auto"/>
              <w:ind w:left="355"/>
            </w:pPr>
            <w:r>
              <w:rPr>
                <w:b/>
                <w:bCs/>
                <w:spacing w:val="-5"/>
              </w:rPr>
              <w:t>从事专业</w:t>
            </w:r>
          </w:p>
        </w:tc>
        <w:tc>
          <w:tcPr>
            <w:tcW w:w="2417" w:type="dxa"/>
            <w:vAlign w:val="top"/>
          </w:tcPr>
          <w:p w14:paraId="421FCB5E">
            <w:pPr>
              <w:pStyle w:val="6"/>
              <w:spacing w:before="51" w:line="213" w:lineRule="auto"/>
              <w:ind w:left="788"/>
            </w:pPr>
            <w:r>
              <w:rPr>
                <w:b/>
                <w:bCs/>
                <w:color w:val="505050"/>
                <w:spacing w:val="-5"/>
              </w:rPr>
              <w:t>工作单位</w:t>
            </w:r>
          </w:p>
        </w:tc>
        <w:tc>
          <w:tcPr>
            <w:tcW w:w="2123" w:type="dxa"/>
            <w:vAlign w:val="top"/>
          </w:tcPr>
          <w:p w14:paraId="2208C5EC">
            <w:pPr>
              <w:pStyle w:val="6"/>
              <w:spacing w:before="52" w:line="212" w:lineRule="auto"/>
              <w:ind w:left="640"/>
            </w:pPr>
            <w:r>
              <w:rPr>
                <w:b/>
                <w:bCs/>
                <w:color w:val="405050"/>
                <w:spacing w:val="-1"/>
              </w:rPr>
              <w:t>联系</w:t>
            </w:r>
            <w:r>
              <w:rPr>
                <w:b/>
                <w:bCs/>
                <w:color w:val="505050"/>
                <w:spacing w:val="-1"/>
              </w:rPr>
              <w:t>电话</w:t>
            </w:r>
          </w:p>
        </w:tc>
      </w:tr>
      <w:tr w14:paraId="45334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664" w:type="dxa"/>
            <w:vAlign w:val="top"/>
          </w:tcPr>
          <w:p w14:paraId="4819A4C0">
            <w:pPr>
              <w:pStyle w:val="6"/>
              <w:spacing w:before="230" w:line="241" w:lineRule="auto"/>
              <w:ind w:left="214"/>
            </w:pPr>
            <w:r>
              <w:rPr>
                <w:spacing w:val="-3"/>
              </w:rPr>
              <w:t>22</w:t>
            </w:r>
          </w:p>
        </w:tc>
        <w:tc>
          <w:tcPr>
            <w:tcW w:w="909" w:type="dxa"/>
            <w:vAlign w:val="top"/>
          </w:tcPr>
          <w:p w14:paraId="637F9F96">
            <w:pPr>
              <w:pStyle w:val="6"/>
              <w:spacing w:before="208" w:line="219" w:lineRule="auto"/>
              <w:ind w:left="230"/>
            </w:pPr>
            <w:r>
              <w:rPr>
                <w:spacing w:val="4"/>
              </w:rPr>
              <w:t>陈耕</w:t>
            </w:r>
          </w:p>
        </w:tc>
        <w:tc>
          <w:tcPr>
            <w:tcW w:w="1269" w:type="dxa"/>
            <w:vAlign w:val="top"/>
          </w:tcPr>
          <w:p w14:paraId="53520E6F">
            <w:pPr>
              <w:pStyle w:val="6"/>
              <w:spacing w:before="209" w:line="219" w:lineRule="auto"/>
              <w:ind w:left="102"/>
            </w:pPr>
            <w:r>
              <w:rPr>
                <w:spacing w:val="2"/>
              </w:rPr>
              <w:t>高级工程师</w:t>
            </w:r>
          </w:p>
        </w:tc>
        <w:tc>
          <w:tcPr>
            <w:tcW w:w="1568" w:type="dxa"/>
            <w:vAlign w:val="top"/>
          </w:tcPr>
          <w:p w14:paraId="65DC5095">
            <w:pPr>
              <w:pStyle w:val="6"/>
              <w:spacing w:before="207" w:line="218" w:lineRule="auto"/>
              <w:ind w:left="143"/>
            </w:pPr>
            <w:r>
              <w:rPr>
                <w:spacing w:val="-2"/>
              </w:rPr>
              <w:t>环境影响评价</w:t>
            </w:r>
          </w:p>
        </w:tc>
        <w:tc>
          <w:tcPr>
            <w:tcW w:w="2417" w:type="dxa"/>
            <w:vAlign w:val="top"/>
          </w:tcPr>
          <w:p w14:paraId="7A7A532F">
            <w:pPr>
              <w:pStyle w:val="6"/>
              <w:spacing w:before="38" w:line="219" w:lineRule="auto"/>
              <w:ind w:left="154"/>
            </w:pPr>
            <w:r>
              <w:rPr>
                <w:color w:val="506060"/>
              </w:rPr>
              <w:t>内蒙古华泰瀚光环境科</w:t>
            </w:r>
          </w:p>
          <w:p w14:paraId="602EC472">
            <w:pPr>
              <w:pStyle w:val="6"/>
              <w:spacing w:before="82" w:line="218" w:lineRule="auto"/>
              <w:ind w:left="674"/>
            </w:pPr>
            <w:r>
              <w:rPr>
                <w:spacing w:val="5"/>
              </w:rPr>
              <w:t>技有限公司</w:t>
            </w:r>
          </w:p>
        </w:tc>
        <w:tc>
          <w:tcPr>
            <w:tcW w:w="2123" w:type="dxa"/>
            <w:vAlign w:val="top"/>
          </w:tcPr>
          <w:p w14:paraId="0208F8A9">
            <w:pPr>
              <w:pStyle w:val="6"/>
              <w:spacing w:before="230"/>
              <w:ind w:left="477"/>
            </w:pPr>
            <w:r>
              <w:rPr>
                <w:spacing w:val="-2"/>
              </w:rPr>
              <w:t>13337183550</w:t>
            </w:r>
          </w:p>
        </w:tc>
      </w:tr>
      <w:tr w14:paraId="3B64A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664" w:type="dxa"/>
            <w:vAlign w:val="top"/>
          </w:tcPr>
          <w:p w14:paraId="30A36062">
            <w:pPr>
              <w:pStyle w:val="6"/>
              <w:spacing w:before="232"/>
              <w:ind w:left="214"/>
            </w:pPr>
            <w:r>
              <w:rPr>
                <w:spacing w:val="-3"/>
              </w:rPr>
              <w:t>23</w:t>
            </w:r>
          </w:p>
        </w:tc>
        <w:tc>
          <w:tcPr>
            <w:tcW w:w="909" w:type="dxa"/>
            <w:vAlign w:val="top"/>
          </w:tcPr>
          <w:p w14:paraId="2C58DB6D">
            <w:pPr>
              <w:pStyle w:val="6"/>
              <w:spacing w:before="210" w:line="219" w:lineRule="auto"/>
              <w:ind w:left="130"/>
            </w:pPr>
            <w:r>
              <w:rPr>
                <w:spacing w:val="2"/>
              </w:rPr>
              <w:t>毕青昆</w:t>
            </w:r>
          </w:p>
        </w:tc>
        <w:tc>
          <w:tcPr>
            <w:tcW w:w="1269" w:type="dxa"/>
            <w:vAlign w:val="top"/>
          </w:tcPr>
          <w:p w14:paraId="6B185798">
            <w:pPr>
              <w:pStyle w:val="6"/>
              <w:spacing w:before="61" w:line="219" w:lineRule="auto"/>
              <w:ind w:left="102"/>
            </w:pPr>
            <w:r>
              <w:rPr>
                <w:spacing w:val="2"/>
              </w:rPr>
              <w:t>教授级高级</w:t>
            </w:r>
          </w:p>
          <w:p w14:paraId="396A8999">
            <w:pPr>
              <w:pStyle w:val="6"/>
              <w:spacing w:before="60" w:line="217" w:lineRule="auto"/>
              <w:ind w:left="311"/>
            </w:pPr>
            <w:r>
              <w:rPr>
                <w:spacing w:val="3"/>
              </w:rPr>
              <w:t>工程师</w:t>
            </w:r>
          </w:p>
        </w:tc>
        <w:tc>
          <w:tcPr>
            <w:tcW w:w="1568" w:type="dxa"/>
            <w:vAlign w:val="top"/>
          </w:tcPr>
          <w:p w14:paraId="0D2F5D4F">
            <w:pPr>
              <w:pStyle w:val="6"/>
              <w:spacing w:before="209" w:line="218" w:lineRule="auto"/>
              <w:ind w:left="143"/>
            </w:pPr>
            <w:r>
              <w:rPr>
                <w:spacing w:val="-2"/>
              </w:rPr>
              <w:t>环境影响评价</w:t>
            </w:r>
          </w:p>
        </w:tc>
        <w:tc>
          <w:tcPr>
            <w:tcW w:w="2417" w:type="dxa"/>
            <w:vAlign w:val="top"/>
          </w:tcPr>
          <w:p w14:paraId="33DD6CD8">
            <w:pPr>
              <w:pStyle w:val="6"/>
              <w:spacing w:before="211" w:line="219" w:lineRule="auto"/>
              <w:ind w:left="154"/>
            </w:pPr>
            <w:r>
              <w:rPr>
                <w:spacing w:val="2"/>
              </w:rPr>
              <w:t>中冶东方控股有限公司</w:t>
            </w:r>
          </w:p>
        </w:tc>
        <w:tc>
          <w:tcPr>
            <w:tcW w:w="2123" w:type="dxa"/>
            <w:vAlign w:val="top"/>
          </w:tcPr>
          <w:p w14:paraId="270FED8D">
            <w:pPr>
              <w:pStyle w:val="6"/>
              <w:spacing w:before="232"/>
              <w:ind w:left="477"/>
            </w:pPr>
            <w:r>
              <w:rPr>
                <w:spacing w:val="-2"/>
              </w:rPr>
              <w:t>18686139955</w:t>
            </w:r>
          </w:p>
        </w:tc>
      </w:tr>
      <w:tr w14:paraId="127D2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64" w:type="dxa"/>
            <w:vAlign w:val="top"/>
          </w:tcPr>
          <w:p w14:paraId="7EF66E75">
            <w:pPr>
              <w:pStyle w:val="6"/>
              <w:spacing w:before="74" w:line="198" w:lineRule="auto"/>
              <w:ind w:left="214"/>
            </w:pPr>
            <w:r>
              <w:rPr>
                <w:spacing w:val="-3"/>
              </w:rPr>
              <w:t>24</w:t>
            </w:r>
          </w:p>
        </w:tc>
        <w:tc>
          <w:tcPr>
            <w:tcW w:w="909" w:type="dxa"/>
            <w:vAlign w:val="top"/>
          </w:tcPr>
          <w:p w14:paraId="317BA99D">
            <w:pPr>
              <w:pStyle w:val="6"/>
              <w:spacing w:before="55" w:line="215" w:lineRule="auto"/>
              <w:ind w:left="130"/>
            </w:pPr>
            <w:r>
              <w:rPr>
                <w:spacing w:val="3"/>
              </w:rPr>
              <w:t>窦国强</w:t>
            </w:r>
          </w:p>
        </w:tc>
        <w:tc>
          <w:tcPr>
            <w:tcW w:w="1269" w:type="dxa"/>
            <w:vAlign w:val="top"/>
          </w:tcPr>
          <w:p w14:paraId="726DB963">
            <w:pPr>
              <w:pStyle w:val="6"/>
              <w:spacing w:before="53" w:line="217" w:lineRule="auto"/>
              <w:ind w:left="102"/>
            </w:pPr>
            <w:r>
              <w:rPr>
                <w:spacing w:val="2"/>
              </w:rPr>
              <w:t>高级工程师</w:t>
            </w:r>
          </w:p>
        </w:tc>
        <w:tc>
          <w:tcPr>
            <w:tcW w:w="1568" w:type="dxa"/>
            <w:vAlign w:val="top"/>
          </w:tcPr>
          <w:p w14:paraId="7BEF218C">
            <w:pPr>
              <w:pStyle w:val="6"/>
              <w:spacing w:before="51" w:line="218" w:lineRule="auto"/>
              <w:ind w:left="143"/>
            </w:pPr>
            <w:r>
              <w:rPr>
                <w:spacing w:val="-2"/>
              </w:rPr>
              <w:t>环境影响评价</w:t>
            </w:r>
          </w:p>
        </w:tc>
        <w:tc>
          <w:tcPr>
            <w:tcW w:w="2417" w:type="dxa"/>
            <w:vAlign w:val="top"/>
          </w:tcPr>
          <w:p w14:paraId="18F7B47A">
            <w:pPr>
              <w:pStyle w:val="6"/>
              <w:spacing w:before="53" w:line="217" w:lineRule="auto"/>
              <w:ind w:left="154"/>
            </w:pPr>
            <w:r>
              <w:rPr>
                <w:color w:val="405050"/>
                <w:spacing w:val="2"/>
              </w:rPr>
              <w:t>中冶东方控股有限公司</w:t>
            </w:r>
          </w:p>
        </w:tc>
        <w:tc>
          <w:tcPr>
            <w:tcW w:w="2123" w:type="dxa"/>
            <w:vAlign w:val="top"/>
          </w:tcPr>
          <w:p w14:paraId="5BF5971D">
            <w:pPr>
              <w:pStyle w:val="6"/>
              <w:spacing w:before="74" w:line="198" w:lineRule="auto"/>
              <w:ind w:left="477"/>
            </w:pPr>
            <w:r>
              <w:rPr>
                <w:spacing w:val="-2"/>
              </w:rPr>
              <w:t>13614721164</w:t>
            </w:r>
          </w:p>
        </w:tc>
      </w:tr>
      <w:tr w14:paraId="4C43C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664" w:type="dxa"/>
            <w:vAlign w:val="top"/>
          </w:tcPr>
          <w:p w14:paraId="297DB64C">
            <w:pPr>
              <w:pStyle w:val="6"/>
              <w:spacing w:before="234"/>
              <w:ind w:left="214"/>
            </w:pPr>
            <w:r>
              <w:rPr>
                <w:spacing w:val="-3"/>
              </w:rPr>
              <w:t>25</w:t>
            </w:r>
          </w:p>
        </w:tc>
        <w:tc>
          <w:tcPr>
            <w:tcW w:w="909" w:type="dxa"/>
            <w:vAlign w:val="top"/>
          </w:tcPr>
          <w:p w14:paraId="54273F60">
            <w:pPr>
              <w:pStyle w:val="6"/>
              <w:spacing w:before="213" w:line="219" w:lineRule="auto"/>
              <w:ind w:left="130"/>
            </w:pPr>
            <w:r>
              <w:rPr>
                <w:spacing w:val="7"/>
              </w:rPr>
              <w:t>任守国</w:t>
            </w:r>
          </w:p>
        </w:tc>
        <w:tc>
          <w:tcPr>
            <w:tcW w:w="1269" w:type="dxa"/>
            <w:vAlign w:val="top"/>
          </w:tcPr>
          <w:p w14:paraId="4B828486">
            <w:pPr>
              <w:pStyle w:val="6"/>
              <w:spacing w:before="53" w:line="219" w:lineRule="auto"/>
              <w:ind w:left="102"/>
            </w:pPr>
            <w:r>
              <w:rPr>
                <w:spacing w:val="2"/>
              </w:rPr>
              <w:t>教授级高级</w:t>
            </w:r>
          </w:p>
          <w:p w14:paraId="1C667F5C">
            <w:pPr>
              <w:pStyle w:val="6"/>
              <w:spacing w:before="70" w:line="215" w:lineRule="auto"/>
              <w:ind w:left="311"/>
            </w:pPr>
            <w:r>
              <w:rPr>
                <w:spacing w:val="3"/>
              </w:rPr>
              <w:t>工程师</w:t>
            </w:r>
          </w:p>
        </w:tc>
        <w:tc>
          <w:tcPr>
            <w:tcW w:w="1568" w:type="dxa"/>
            <w:vAlign w:val="top"/>
          </w:tcPr>
          <w:p w14:paraId="07C48B30">
            <w:pPr>
              <w:pStyle w:val="6"/>
              <w:spacing w:before="211" w:line="218" w:lineRule="auto"/>
              <w:ind w:left="143"/>
            </w:pPr>
            <w:r>
              <w:rPr>
                <w:spacing w:val="-2"/>
              </w:rPr>
              <w:t>环境影响评价</w:t>
            </w:r>
          </w:p>
        </w:tc>
        <w:tc>
          <w:tcPr>
            <w:tcW w:w="2417" w:type="dxa"/>
            <w:vAlign w:val="top"/>
          </w:tcPr>
          <w:p w14:paraId="2EC9EA81">
            <w:pPr>
              <w:pStyle w:val="6"/>
              <w:spacing w:before="213" w:line="219" w:lineRule="auto"/>
              <w:ind w:left="154"/>
            </w:pPr>
            <w:r>
              <w:rPr>
                <w:spacing w:val="2"/>
              </w:rPr>
              <w:t>中冶东方控股有限公司</w:t>
            </w:r>
          </w:p>
        </w:tc>
        <w:tc>
          <w:tcPr>
            <w:tcW w:w="2123" w:type="dxa"/>
            <w:vAlign w:val="top"/>
          </w:tcPr>
          <w:p w14:paraId="3B9EB0E6">
            <w:pPr>
              <w:pStyle w:val="6"/>
              <w:spacing w:before="234"/>
              <w:ind w:left="477"/>
            </w:pPr>
            <w:r>
              <w:rPr>
                <w:spacing w:val="-2"/>
              </w:rPr>
              <w:t>18686139500</w:t>
            </w:r>
          </w:p>
        </w:tc>
      </w:tr>
      <w:tr w14:paraId="3F73C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64" w:type="dxa"/>
            <w:vAlign w:val="top"/>
          </w:tcPr>
          <w:p w14:paraId="41538599">
            <w:pPr>
              <w:pStyle w:val="6"/>
              <w:spacing w:before="77" w:line="195" w:lineRule="auto"/>
              <w:ind w:left="214"/>
            </w:pPr>
            <w:r>
              <w:rPr>
                <w:spacing w:val="-3"/>
              </w:rPr>
              <w:t>26</w:t>
            </w:r>
          </w:p>
        </w:tc>
        <w:tc>
          <w:tcPr>
            <w:tcW w:w="909" w:type="dxa"/>
            <w:vAlign w:val="top"/>
          </w:tcPr>
          <w:p w14:paraId="37E713C6">
            <w:pPr>
              <w:pStyle w:val="6"/>
              <w:spacing w:before="57" w:line="212" w:lineRule="auto"/>
              <w:ind w:left="230"/>
            </w:pPr>
            <w:r>
              <w:rPr>
                <w:spacing w:val="-3"/>
              </w:rPr>
              <w:t>孙丽</w:t>
            </w:r>
          </w:p>
        </w:tc>
        <w:tc>
          <w:tcPr>
            <w:tcW w:w="1269" w:type="dxa"/>
            <w:vAlign w:val="top"/>
          </w:tcPr>
          <w:p w14:paraId="0A40F980">
            <w:pPr>
              <w:pStyle w:val="6"/>
              <w:spacing w:before="55" w:line="214" w:lineRule="auto"/>
              <w:ind w:left="102"/>
            </w:pPr>
            <w:r>
              <w:rPr>
                <w:spacing w:val="2"/>
              </w:rPr>
              <w:t>高级工程师</w:t>
            </w:r>
          </w:p>
        </w:tc>
        <w:tc>
          <w:tcPr>
            <w:tcW w:w="1568" w:type="dxa"/>
            <w:vAlign w:val="top"/>
          </w:tcPr>
          <w:p w14:paraId="31542803">
            <w:pPr>
              <w:pStyle w:val="6"/>
              <w:spacing w:before="54" w:line="215" w:lineRule="auto"/>
              <w:ind w:left="143"/>
            </w:pPr>
            <w:r>
              <w:rPr>
                <w:spacing w:val="-2"/>
              </w:rPr>
              <w:t>环境影响评价</w:t>
            </w:r>
          </w:p>
        </w:tc>
        <w:tc>
          <w:tcPr>
            <w:tcW w:w="2417" w:type="dxa"/>
            <w:vAlign w:val="top"/>
          </w:tcPr>
          <w:p w14:paraId="57A04EAE">
            <w:pPr>
              <w:pStyle w:val="6"/>
              <w:spacing w:before="55" w:line="214" w:lineRule="auto"/>
              <w:ind w:left="154"/>
            </w:pPr>
            <w:r>
              <w:rPr>
                <w:spacing w:val="2"/>
              </w:rPr>
              <w:t>中冶东方控股有限公司</w:t>
            </w:r>
          </w:p>
        </w:tc>
        <w:tc>
          <w:tcPr>
            <w:tcW w:w="2123" w:type="dxa"/>
            <w:vAlign w:val="top"/>
          </w:tcPr>
          <w:p w14:paraId="1CA7202A">
            <w:pPr>
              <w:pStyle w:val="6"/>
              <w:spacing w:before="77" w:line="195" w:lineRule="auto"/>
              <w:ind w:left="477"/>
            </w:pPr>
            <w:r>
              <w:rPr>
                <w:spacing w:val="-2"/>
              </w:rPr>
              <w:t>13347179987</w:t>
            </w:r>
          </w:p>
        </w:tc>
      </w:tr>
      <w:tr w14:paraId="0A674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64" w:type="dxa"/>
            <w:vAlign w:val="top"/>
          </w:tcPr>
          <w:p w14:paraId="1131FB40">
            <w:pPr>
              <w:pStyle w:val="6"/>
              <w:spacing w:before="77" w:line="195" w:lineRule="auto"/>
              <w:ind w:left="214"/>
            </w:pPr>
            <w:r>
              <w:rPr>
                <w:spacing w:val="-3"/>
              </w:rPr>
              <w:t>27</w:t>
            </w:r>
          </w:p>
        </w:tc>
        <w:tc>
          <w:tcPr>
            <w:tcW w:w="909" w:type="dxa"/>
            <w:vAlign w:val="top"/>
          </w:tcPr>
          <w:p w14:paraId="71126F71">
            <w:pPr>
              <w:pStyle w:val="6"/>
              <w:spacing w:before="57" w:line="212" w:lineRule="auto"/>
              <w:ind w:left="130"/>
            </w:pPr>
            <w:r>
              <w:rPr>
                <w:spacing w:val="-3"/>
              </w:rPr>
              <w:t>邬金娥</w:t>
            </w:r>
          </w:p>
        </w:tc>
        <w:tc>
          <w:tcPr>
            <w:tcW w:w="1269" w:type="dxa"/>
            <w:vAlign w:val="top"/>
          </w:tcPr>
          <w:p w14:paraId="6F32FE4A">
            <w:pPr>
              <w:pStyle w:val="6"/>
              <w:spacing w:before="56" w:line="213" w:lineRule="auto"/>
              <w:ind w:left="102"/>
            </w:pPr>
            <w:r>
              <w:rPr>
                <w:spacing w:val="2"/>
              </w:rPr>
              <w:t>高级工程师</w:t>
            </w:r>
          </w:p>
        </w:tc>
        <w:tc>
          <w:tcPr>
            <w:tcW w:w="1568" w:type="dxa"/>
            <w:vAlign w:val="top"/>
          </w:tcPr>
          <w:p w14:paraId="64AF73E3">
            <w:pPr>
              <w:pStyle w:val="6"/>
              <w:spacing w:before="54" w:line="215" w:lineRule="auto"/>
              <w:ind w:left="143"/>
            </w:pPr>
            <w:r>
              <w:rPr>
                <w:spacing w:val="-2"/>
              </w:rPr>
              <w:t>环境影响评价</w:t>
            </w:r>
          </w:p>
        </w:tc>
        <w:tc>
          <w:tcPr>
            <w:tcW w:w="2417" w:type="dxa"/>
            <w:vAlign w:val="top"/>
          </w:tcPr>
          <w:p w14:paraId="7918F7D3">
            <w:pPr>
              <w:pStyle w:val="6"/>
              <w:spacing w:before="56" w:line="213" w:lineRule="auto"/>
              <w:ind w:left="154"/>
            </w:pPr>
            <w:r>
              <w:rPr>
                <w:spacing w:val="2"/>
              </w:rPr>
              <w:t>中冶东方控股有限公司</w:t>
            </w:r>
          </w:p>
        </w:tc>
        <w:tc>
          <w:tcPr>
            <w:tcW w:w="2123" w:type="dxa"/>
            <w:vAlign w:val="top"/>
          </w:tcPr>
          <w:p w14:paraId="1751E42E">
            <w:pPr>
              <w:pStyle w:val="6"/>
              <w:spacing w:before="77" w:line="195" w:lineRule="auto"/>
              <w:ind w:left="477"/>
            </w:pPr>
            <w:r>
              <w:rPr>
                <w:spacing w:val="-2"/>
              </w:rPr>
              <w:t>15024703239</w:t>
            </w:r>
          </w:p>
        </w:tc>
      </w:tr>
      <w:tr w14:paraId="7D16B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64" w:type="dxa"/>
            <w:vAlign w:val="top"/>
          </w:tcPr>
          <w:p w14:paraId="48C58502">
            <w:pPr>
              <w:pStyle w:val="6"/>
              <w:spacing w:before="79" w:line="189" w:lineRule="auto"/>
              <w:ind w:left="214"/>
            </w:pPr>
            <w:r>
              <w:rPr>
                <w:spacing w:val="-3"/>
              </w:rPr>
              <w:t>28</w:t>
            </w:r>
          </w:p>
        </w:tc>
        <w:tc>
          <w:tcPr>
            <w:tcW w:w="909" w:type="dxa"/>
            <w:vAlign w:val="top"/>
          </w:tcPr>
          <w:p w14:paraId="219032B8">
            <w:pPr>
              <w:pStyle w:val="6"/>
              <w:spacing w:before="59" w:line="206" w:lineRule="auto"/>
              <w:ind w:left="130"/>
            </w:pPr>
            <w:r>
              <w:rPr>
                <w:spacing w:val="3"/>
              </w:rPr>
              <w:t>张建平</w:t>
            </w:r>
          </w:p>
        </w:tc>
        <w:tc>
          <w:tcPr>
            <w:tcW w:w="1269" w:type="dxa"/>
            <w:vAlign w:val="top"/>
          </w:tcPr>
          <w:p w14:paraId="4C11C029">
            <w:pPr>
              <w:pStyle w:val="6"/>
              <w:spacing w:before="57" w:line="208" w:lineRule="auto"/>
              <w:ind w:left="102"/>
            </w:pPr>
            <w:r>
              <w:rPr>
                <w:spacing w:val="2"/>
              </w:rPr>
              <w:t>高级工程师</w:t>
            </w:r>
          </w:p>
        </w:tc>
        <w:tc>
          <w:tcPr>
            <w:tcW w:w="1568" w:type="dxa"/>
            <w:vAlign w:val="top"/>
          </w:tcPr>
          <w:p w14:paraId="10C70D0D">
            <w:pPr>
              <w:pStyle w:val="6"/>
              <w:spacing w:before="56" w:line="209" w:lineRule="auto"/>
              <w:ind w:left="143"/>
            </w:pPr>
            <w:r>
              <w:rPr>
                <w:spacing w:val="-2"/>
              </w:rPr>
              <w:t>环境影响评价</w:t>
            </w:r>
          </w:p>
        </w:tc>
        <w:tc>
          <w:tcPr>
            <w:tcW w:w="2417" w:type="dxa"/>
            <w:vAlign w:val="top"/>
          </w:tcPr>
          <w:p w14:paraId="75D74FF3">
            <w:pPr>
              <w:pStyle w:val="6"/>
              <w:spacing w:before="57" w:line="208" w:lineRule="auto"/>
              <w:ind w:left="154"/>
            </w:pPr>
            <w:r>
              <w:rPr>
                <w:spacing w:val="2"/>
              </w:rPr>
              <w:t>中冶东方控股有限公司</w:t>
            </w:r>
          </w:p>
        </w:tc>
        <w:tc>
          <w:tcPr>
            <w:tcW w:w="2123" w:type="dxa"/>
            <w:vAlign w:val="top"/>
          </w:tcPr>
          <w:p w14:paraId="5FC45804">
            <w:pPr>
              <w:pStyle w:val="6"/>
              <w:spacing w:before="79" w:line="189" w:lineRule="auto"/>
              <w:ind w:left="477"/>
            </w:pPr>
            <w:r>
              <w:rPr>
                <w:spacing w:val="-2"/>
              </w:rPr>
              <w:t>13947264879</w:t>
            </w:r>
          </w:p>
        </w:tc>
      </w:tr>
    </w:tbl>
    <w:p w14:paraId="53ADA430">
      <w:pPr>
        <w:spacing w:line="287" w:lineRule="auto"/>
        <w:rPr>
          <w:rFonts w:ascii="Arial"/>
          <w:sz w:val="21"/>
        </w:rPr>
      </w:pPr>
    </w:p>
    <w:p w14:paraId="5227A81D">
      <w:pPr>
        <w:spacing w:line="287" w:lineRule="auto"/>
        <w:rPr>
          <w:rFonts w:ascii="Arial"/>
          <w:sz w:val="21"/>
        </w:rPr>
      </w:pPr>
    </w:p>
    <w:p w14:paraId="49233BE1">
      <w:pPr>
        <w:spacing w:line="287" w:lineRule="auto"/>
        <w:rPr>
          <w:rFonts w:ascii="Arial"/>
          <w:sz w:val="21"/>
        </w:rPr>
      </w:pPr>
    </w:p>
    <w:p w14:paraId="59C09B5F">
      <w:pPr>
        <w:spacing w:line="287" w:lineRule="auto"/>
        <w:rPr>
          <w:rFonts w:ascii="Arial"/>
          <w:sz w:val="21"/>
        </w:rPr>
      </w:pPr>
    </w:p>
    <w:p w14:paraId="6FE3AE0A">
      <w:pPr>
        <w:spacing w:line="287" w:lineRule="auto"/>
        <w:rPr>
          <w:rFonts w:ascii="Arial"/>
          <w:sz w:val="21"/>
        </w:rPr>
      </w:pPr>
    </w:p>
    <w:p w14:paraId="3E2149F6">
      <w:pPr>
        <w:spacing w:before="78" w:line="218" w:lineRule="auto"/>
        <w:ind w:left="544"/>
        <w:rPr>
          <w:rFonts w:ascii="宋体" w:hAnsi="宋体" w:eastAsia="宋体" w:cs="宋体"/>
          <w:sz w:val="24"/>
          <w:szCs w:val="24"/>
        </w:rPr>
      </w:pPr>
      <w:r>
        <w:rPr>
          <w:rFonts w:ascii="宋体" w:hAnsi="宋体" w:eastAsia="宋体" w:cs="宋体"/>
          <w:color w:val="404050"/>
          <w:spacing w:val="1"/>
          <w:sz w:val="24"/>
          <w:szCs w:val="24"/>
        </w:rPr>
        <w:t>后附：包头市石拐区集中式饮用水水源地突发环境事件风险</w:t>
      </w:r>
      <w:r>
        <w:rPr>
          <w:rFonts w:ascii="宋体" w:hAnsi="宋体" w:eastAsia="宋体" w:cs="宋体"/>
          <w:color w:val="404050"/>
          <w:sz w:val="24"/>
          <w:szCs w:val="24"/>
        </w:rPr>
        <w:t>评估报告</w:t>
      </w:r>
    </w:p>
    <w:sectPr>
      <w:footerReference r:id="rId68" w:type="default"/>
      <w:pgSz w:w="11910" w:h="16850"/>
      <w:pgMar w:top="400" w:right="1534" w:bottom="1464" w:left="1415" w:header="0" w:footer="132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2D92F">
    <w:pPr>
      <w:spacing w:line="174" w:lineRule="auto"/>
      <w:ind w:left="4100"/>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98E22">
    <w:pPr>
      <w:spacing w:line="176" w:lineRule="auto"/>
      <w:ind w:left="4200"/>
      <w:rPr>
        <w:rFonts w:ascii="Times New Roman" w:hAnsi="Times New Roman" w:eastAsia="Times New Roman" w:cs="Times New Roman"/>
        <w:sz w:val="18"/>
        <w:szCs w:val="18"/>
      </w:rPr>
    </w:pPr>
    <w:r>
      <w:rPr>
        <w:rFonts w:ascii="Times New Roman" w:hAnsi="Times New Roman" w:eastAsia="Times New Roman" w:cs="Times New Roman"/>
        <w:color w:val="506060"/>
        <w:spacing w:val="-6"/>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0E1BD">
    <w:pPr>
      <w:spacing w:line="176" w:lineRule="auto"/>
      <w:ind w:left="699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BC731">
    <w:pPr>
      <w:spacing w:line="182" w:lineRule="auto"/>
      <w:ind w:left="7004"/>
      <w:rPr>
        <w:rFonts w:ascii="Arial" w:hAnsi="Arial" w:eastAsia="Arial" w:cs="Arial"/>
        <w:sz w:val="15"/>
        <w:szCs w:val="15"/>
      </w:rPr>
    </w:pPr>
    <w:r>
      <w:rPr>
        <w:rFonts w:ascii="Arial" w:hAnsi="Arial" w:eastAsia="Arial" w:cs="Arial"/>
        <w:spacing w:val="-5"/>
        <w:sz w:val="15"/>
        <w:szCs w:val="15"/>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E41E7">
    <w:pPr>
      <w:spacing w:line="174" w:lineRule="auto"/>
      <w:ind w:left="6994"/>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C9A2E">
    <w:pPr>
      <w:spacing w:line="176" w:lineRule="auto"/>
      <w:ind w:left="697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D4DE3">
    <w:pPr>
      <w:spacing w:line="208" w:lineRule="exact"/>
      <w:ind w:left="4110"/>
      <w:rPr>
        <w:rFonts w:ascii="Arial" w:hAnsi="Arial" w:eastAsia="Arial" w:cs="Arial"/>
        <w:sz w:val="16"/>
        <w:szCs w:val="16"/>
      </w:rPr>
    </w:pPr>
    <w:r>
      <w:rPr>
        <w:rFonts w:ascii="Arial" w:hAnsi="Arial" w:eastAsia="Arial" w:cs="Arial"/>
        <w:spacing w:val="-5"/>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7B8C">
    <w:pPr>
      <w:spacing w:line="176" w:lineRule="auto"/>
      <w:ind w:left="699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E402">
    <w:pPr>
      <w:spacing w:line="177" w:lineRule="auto"/>
      <w:ind w:left="7024"/>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4C8D0">
    <w:pPr>
      <w:spacing w:line="176" w:lineRule="auto"/>
      <w:ind w:left="699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A786A">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0C995">
    <w:pPr>
      <w:spacing w:line="182" w:lineRule="auto"/>
      <w:ind w:left="4110"/>
      <w:rPr>
        <w:rFonts w:ascii="Arial" w:hAnsi="Arial" w:eastAsia="Arial" w:cs="Arial"/>
        <w:sz w:val="15"/>
        <w:szCs w:val="15"/>
      </w:rPr>
    </w:pPr>
    <w:r>
      <w:rPr>
        <w:rFonts w:ascii="Arial" w:hAnsi="Arial" w:eastAsia="Arial" w:cs="Arial"/>
        <w:sz w:val="15"/>
        <w:szCs w:val="15"/>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7F0FE">
    <w:pPr>
      <w:spacing w:line="175" w:lineRule="auto"/>
      <w:ind w:left="412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310E5">
    <w:pPr>
      <w:spacing w:line="176" w:lineRule="auto"/>
      <w:ind w:left="409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2D191">
    <w:pPr>
      <w:spacing w:line="174" w:lineRule="auto"/>
      <w:ind w:left="4109"/>
      <w:rPr>
        <w:rFonts w:ascii="Times New Roman" w:hAnsi="Times New Roman" w:eastAsia="Times New Roman" w:cs="Times New Roman"/>
        <w:sz w:val="15"/>
        <w:szCs w:val="15"/>
      </w:rPr>
    </w:pPr>
    <w:r>
      <w:rPr>
        <w:rFonts w:ascii="Times New Roman" w:hAnsi="Times New Roman" w:eastAsia="Times New Roman" w:cs="Times New Roman"/>
        <w:b/>
        <w:bCs/>
        <w:sz w:val="15"/>
        <w:szCs w:val="15"/>
      </w:rPr>
      <w:t>2</w:t>
    </w:r>
    <w:r>
      <w:rPr>
        <w:rFonts w:ascii="Times New Roman" w:hAnsi="Times New Roman" w:eastAsia="Times New Roman" w:cs="Times New Roman"/>
        <w:sz w:val="15"/>
        <w:szCs w:val="15"/>
      </w:rPr>
      <w:t>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73FAC">
    <w:pPr>
      <w:spacing w:line="221" w:lineRule="exact"/>
      <w:ind w:left="4080"/>
      <w:rPr>
        <w:rFonts w:ascii="Arial" w:hAnsi="Arial" w:eastAsia="Arial" w:cs="Arial"/>
        <w:sz w:val="17"/>
        <w:szCs w:val="17"/>
      </w:rPr>
    </w:pPr>
    <w:r>
      <w:rPr>
        <w:rFonts w:ascii="Arial" w:hAnsi="Arial" w:eastAsia="Arial" w:cs="Arial"/>
        <w:spacing w:val="-2"/>
        <w:position w:val="1"/>
        <w:sz w:val="17"/>
        <w:szCs w:val="17"/>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03F3F">
    <w:pPr>
      <w:spacing w:line="175" w:lineRule="auto"/>
      <w:ind w:left="410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7AB3D">
    <w:pPr>
      <w:spacing w:line="221" w:lineRule="exact"/>
      <w:ind w:left="4080"/>
      <w:rPr>
        <w:rFonts w:ascii="Arial" w:hAnsi="Arial" w:eastAsia="Arial" w:cs="Arial"/>
        <w:sz w:val="17"/>
        <w:szCs w:val="17"/>
      </w:rPr>
    </w:pPr>
    <w:r>
      <w:rPr>
        <w:rFonts w:ascii="Arial" w:hAnsi="Arial" w:eastAsia="Arial" w:cs="Arial"/>
        <w:color w:val="506060"/>
        <w:spacing w:val="-2"/>
        <w:position w:val="1"/>
        <w:sz w:val="17"/>
        <w:szCs w:val="17"/>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2FACA">
    <w:pPr>
      <w:spacing w:line="221" w:lineRule="exact"/>
      <w:ind w:left="4090"/>
      <w:rPr>
        <w:rFonts w:ascii="Arial" w:hAnsi="Arial" w:eastAsia="Arial" w:cs="Arial"/>
        <w:sz w:val="17"/>
        <w:szCs w:val="17"/>
      </w:rPr>
    </w:pPr>
    <w:r>
      <w:rPr>
        <w:rFonts w:ascii="Arial" w:hAnsi="Arial" w:eastAsia="Arial" w:cs="Arial"/>
        <w:spacing w:val="-2"/>
        <w:position w:val="1"/>
        <w:sz w:val="17"/>
        <w:szCs w:val="17"/>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008D6">
    <w:pPr>
      <w:spacing w:line="175" w:lineRule="auto"/>
      <w:ind w:left="409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B135B">
    <w:pPr>
      <w:spacing w:line="176" w:lineRule="auto"/>
      <w:ind w:left="42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5020F">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color w:val="405050"/>
        <w:spacing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E855">
    <w:pPr>
      <w:spacing w:line="174" w:lineRule="auto"/>
      <w:ind w:left="4110"/>
      <w:rPr>
        <w:rFonts w:ascii="Times New Roman" w:hAnsi="Times New Roman" w:eastAsia="Times New Roman" w:cs="Times New Roman"/>
        <w:sz w:val="15"/>
        <w:szCs w:val="15"/>
      </w:rPr>
    </w:pPr>
    <w:r>
      <w:rPr>
        <w:rFonts w:ascii="Times New Roman" w:hAnsi="Times New Roman" w:eastAsia="Times New Roman" w:cs="Times New Roman"/>
        <w:sz w:val="15"/>
        <w:szCs w:val="15"/>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6A81D">
    <w:pPr>
      <w:spacing w:line="176" w:lineRule="auto"/>
      <w:ind w:left="4070"/>
      <w:rPr>
        <w:rFonts w:ascii="Times New Roman" w:hAnsi="Times New Roman" w:eastAsia="Times New Roman" w:cs="Times New Roman"/>
        <w:sz w:val="18"/>
        <w:szCs w:val="18"/>
      </w:rPr>
    </w:pPr>
    <w:r>
      <w:rPr>
        <w:rFonts w:ascii="Times New Roman" w:hAnsi="Times New Roman" w:eastAsia="Times New Roman" w:cs="Times New Roman"/>
        <w:color w:val="506060"/>
        <w:spacing w:val="-2"/>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7EECB">
    <w:pPr>
      <w:spacing w:line="175" w:lineRule="auto"/>
      <w:ind w:left="4080"/>
      <w:rPr>
        <w:rFonts w:ascii="Times New Roman" w:hAnsi="Times New Roman" w:eastAsia="Times New Roman" w:cs="Times New Roman"/>
        <w:sz w:val="16"/>
        <w:szCs w:val="16"/>
      </w:rPr>
    </w:pPr>
    <w:r>
      <w:rPr>
        <w:rFonts w:ascii="Times New Roman" w:hAnsi="Times New Roman" w:eastAsia="Times New Roman" w:cs="Times New Roman"/>
        <w:color w:val="506060"/>
        <w:spacing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0407E">
    <w:pPr>
      <w:spacing w:line="176" w:lineRule="auto"/>
      <w:ind w:left="4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7516">
    <w:pPr>
      <w:spacing w:line="194" w:lineRule="exact"/>
      <w:ind w:left="4070"/>
      <w:rPr>
        <w:rFonts w:ascii="Arial" w:hAnsi="Arial" w:eastAsia="Arial" w:cs="Arial"/>
        <w:sz w:val="15"/>
        <w:szCs w:val="15"/>
      </w:rPr>
    </w:pPr>
    <w:r>
      <w:rPr>
        <w:rFonts w:ascii="Arial" w:hAnsi="Arial" w:eastAsia="Arial" w:cs="Arial"/>
        <w:spacing w:val="-2"/>
        <w:position w:val="1"/>
        <w:sz w:val="15"/>
        <w:szCs w:val="15"/>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53303">
    <w:pPr>
      <w:spacing w:line="174" w:lineRule="auto"/>
      <w:ind w:left="4129"/>
      <w:rPr>
        <w:rFonts w:ascii="Times New Roman" w:hAnsi="Times New Roman" w:eastAsia="Times New Roman" w:cs="Times New Roman"/>
        <w:sz w:val="15"/>
        <w:szCs w:val="15"/>
      </w:rPr>
    </w:pPr>
    <w:r>
      <w:rPr>
        <w:rFonts w:ascii="Times New Roman" w:hAnsi="Times New Roman" w:eastAsia="Times New Roman" w:cs="Times New Roman"/>
        <w:color w:val="506060"/>
        <w:spacing w:val="7"/>
        <w:sz w:val="15"/>
        <w:szCs w:val="15"/>
      </w:rPr>
      <w:t>3</w:t>
    </w:r>
    <w:r>
      <w:rPr>
        <w:rFonts w:ascii="Times New Roman" w:hAnsi="Times New Roman" w:eastAsia="Times New Roman" w:cs="Times New Roman"/>
        <w:b/>
        <w:bCs/>
        <w:color w:val="506060"/>
        <w:spacing w:val="7"/>
        <w:sz w:val="15"/>
        <w:szCs w:val="15"/>
      </w:rPr>
      <w:t>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EED0">
    <w:pPr>
      <w:spacing w:line="194" w:lineRule="exact"/>
      <w:ind w:left="4070"/>
      <w:rPr>
        <w:rFonts w:ascii="Arial" w:hAnsi="Arial" w:eastAsia="Arial" w:cs="Arial"/>
        <w:sz w:val="15"/>
        <w:szCs w:val="15"/>
      </w:rPr>
    </w:pPr>
    <w:r>
      <w:rPr>
        <w:rFonts w:ascii="Arial" w:hAnsi="Arial" w:eastAsia="Arial" w:cs="Arial"/>
        <w:color w:val="506060"/>
        <w:spacing w:val="-2"/>
        <w:position w:val="1"/>
        <w:sz w:val="15"/>
        <w:szCs w:val="15"/>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BD4B4">
    <w:pPr>
      <w:spacing w:line="180" w:lineRule="exact"/>
      <w:ind w:left="4109"/>
      <w:rPr>
        <w:rFonts w:ascii="Arial" w:hAnsi="Arial" w:eastAsia="Arial" w:cs="Arial"/>
        <w:sz w:val="14"/>
        <w:szCs w:val="14"/>
      </w:rPr>
    </w:pPr>
    <w:r>
      <w:rPr>
        <w:rFonts w:ascii="Arial" w:hAnsi="Arial" w:eastAsia="Arial" w:cs="Arial"/>
        <w:spacing w:val="-2"/>
        <w:sz w:val="14"/>
        <w:szCs w:val="14"/>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1F564">
    <w:pPr>
      <w:spacing w:line="176" w:lineRule="auto"/>
      <w:ind w:left="4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D843">
    <w:pPr>
      <w:spacing w:line="194" w:lineRule="exact"/>
      <w:ind w:left="4214"/>
      <w:rPr>
        <w:rFonts w:ascii="Arial" w:hAnsi="Arial" w:eastAsia="Arial" w:cs="Arial"/>
        <w:sz w:val="15"/>
        <w:szCs w:val="15"/>
      </w:rPr>
    </w:pPr>
    <w:r>
      <w:rPr>
        <w:rFonts w:ascii="Arial" w:hAnsi="Arial" w:eastAsia="Arial" w:cs="Arial"/>
        <w:spacing w:val="-2"/>
        <w:position w:val="1"/>
        <w:sz w:val="15"/>
        <w:szCs w:val="15"/>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B9FC0">
    <w:pPr>
      <w:spacing w:line="174" w:lineRule="auto"/>
      <w:ind w:left="4355"/>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3D485">
    <w:pPr>
      <w:spacing w:line="176" w:lineRule="auto"/>
      <w:ind w:left="417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AD641">
    <w:pPr>
      <w:spacing w:line="176" w:lineRule="auto"/>
      <w:ind w:left="406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0BF6">
    <w:pPr>
      <w:spacing w:line="176" w:lineRule="auto"/>
      <w:ind w:left="41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A70A4">
    <w:pPr>
      <w:spacing w:line="175" w:lineRule="auto"/>
      <w:ind w:left="4145"/>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1FED">
    <w:pPr>
      <w:spacing w:line="227" w:lineRule="auto"/>
      <w:ind w:left="4195"/>
      <w:rPr>
        <w:rFonts w:ascii="宋体" w:hAnsi="宋体" w:eastAsia="宋体" w:cs="宋体"/>
        <w:sz w:val="16"/>
        <w:szCs w:val="16"/>
      </w:rPr>
    </w:pPr>
    <w:r>
      <w:rPr>
        <w:rFonts w:ascii="宋体" w:hAnsi="宋体" w:eastAsia="宋体" w:cs="宋体"/>
        <w:spacing w:val="-3"/>
        <w:sz w:val="16"/>
        <w:szCs w:val="16"/>
      </w:rPr>
      <w:t>20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AEB64">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19</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A786A">
    <w:pPr>
      <w:spacing w:line="14" w:lineRule="auto"/>
      <w:rPr>
        <w:rFonts w:ascii="Arial"/>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2FA20">
    <w:pPr>
      <w:spacing w:line="176" w:lineRule="auto"/>
      <w:ind w:left="413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6117F">
    <w:pPr>
      <w:spacing w:line="221" w:lineRule="exact"/>
      <w:ind w:left="4495"/>
      <w:rPr>
        <w:rFonts w:ascii="Arial" w:hAnsi="Arial" w:eastAsia="Arial" w:cs="Arial"/>
        <w:sz w:val="17"/>
        <w:szCs w:val="17"/>
      </w:rPr>
    </w:pPr>
    <w:r>
      <w:rPr>
        <w:rFonts w:ascii="Arial" w:hAnsi="Arial" w:eastAsia="Arial" w:cs="Arial"/>
        <w:spacing w:val="-5"/>
        <w:position w:val="1"/>
        <w:sz w:val="17"/>
        <w:szCs w:val="17"/>
      </w:rPr>
      <w:t>15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F9CA3">
    <w:pPr>
      <w:spacing w:line="175" w:lineRule="auto"/>
      <w:ind w:left="4524"/>
      <w:rPr>
        <w:rFonts w:ascii="Times New Roman" w:hAnsi="Times New Roman" w:eastAsia="Times New Roman" w:cs="Times New Roman"/>
        <w:sz w:val="16"/>
        <w:szCs w:val="16"/>
      </w:rPr>
    </w:pPr>
    <w:r>
      <w:rPr>
        <w:rFonts w:ascii="Times New Roman" w:hAnsi="Times New Roman" w:eastAsia="Times New Roman" w:cs="Times New Roman"/>
        <w:color w:val="506060"/>
        <w:spacing w:val="-10"/>
        <w:sz w:val="16"/>
        <w:szCs w:val="16"/>
      </w:rPr>
      <w:t>1</w:t>
    </w:r>
    <w:r>
      <w:rPr>
        <w:rFonts w:ascii="Times New Roman" w:hAnsi="Times New Roman" w:eastAsia="Times New Roman" w:cs="Times New Roman"/>
        <w:b/>
        <w:bCs/>
        <w:color w:val="506060"/>
        <w:spacing w:val="-10"/>
        <w:sz w:val="16"/>
        <w:szCs w:val="16"/>
      </w:rPr>
      <w:t>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65A99">
    <w:pPr>
      <w:spacing w:line="176" w:lineRule="auto"/>
      <w:ind w:left="413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FB68">
    <w:pPr>
      <w:spacing w:line="167" w:lineRule="exact"/>
      <w:ind w:left="4090"/>
      <w:rPr>
        <w:rFonts w:ascii="Arial" w:hAnsi="Arial" w:eastAsia="Arial" w:cs="Arial"/>
        <w:sz w:val="13"/>
        <w:szCs w:val="13"/>
      </w:rPr>
    </w:pPr>
    <w:r>
      <w:rPr>
        <w:rFonts w:ascii="Arial" w:hAnsi="Arial" w:eastAsia="Arial" w:cs="Arial"/>
        <w:position w:val="1"/>
        <w:sz w:val="13"/>
        <w:szCs w:val="13"/>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F7CAC">
    <w:pPr>
      <w:spacing w:line="176"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CA37A">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1CFAE">
    <w:pPr>
      <w:spacing w:line="176" w:lineRule="auto"/>
      <w:ind w:left="41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A46FA">
    <w:pPr>
      <w:spacing w:line="176" w:lineRule="auto"/>
      <w:ind w:left="414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A786A">
    <w:pPr>
      <w:spacing w:line="14" w:lineRule="auto"/>
      <w:rPr>
        <w:rFonts w:ascii="Arial"/>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AB573">
    <w:pPr>
      <w:spacing w:line="173" w:lineRule="auto"/>
      <w:ind w:left="701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8528B">
    <w:pPr>
      <w:spacing w:line="194" w:lineRule="exact"/>
      <w:ind w:left="7034"/>
      <w:rPr>
        <w:rFonts w:ascii="Arial" w:hAnsi="Arial" w:eastAsia="Arial" w:cs="Arial"/>
        <w:sz w:val="15"/>
        <w:szCs w:val="15"/>
      </w:rPr>
    </w:pPr>
    <w:r>
      <w:rPr>
        <w:rFonts w:ascii="Arial" w:hAnsi="Arial" w:eastAsia="Arial" w:cs="Arial"/>
        <w:position w:val="1"/>
        <w:sz w:val="15"/>
        <w:szCs w:val="15"/>
      </w:rPr>
      <w:t>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E092">
    <w:pPr>
      <w:spacing w:line="167" w:lineRule="exact"/>
      <w:ind w:left="4214"/>
      <w:rPr>
        <w:rFonts w:ascii="Arial" w:hAnsi="Arial" w:eastAsia="Arial" w:cs="Arial"/>
        <w:sz w:val="13"/>
        <w:szCs w:val="13"/>
      </w:rPr>
    </w:pPr>
    <w:r>
      <w:rPr>
        <w:rFonts w:ascii="Arial" w:hAnsi="Arial" w:eastAsia="Arial" w:cs="Arial"/>
        <w:position w:val="1"/>
        <w:sz w:val="13"/>
        <w:szCs w:val="13"/>
      </w:rPr>
      <w:t>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4C754">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002E4">
    <w:pPr>
      <w:spacing w:line="176" w:lineRule="auto"/>
      <w:ind w:left="409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3FAA2">
    <w:pPr>
      <w:spacing w:line="194" w:lineRule="exact"/>
      <w:ind w:left="4120"/>
      <w:rPr>
        <w:rFonts w:ascii="Arial" w:hAnsi="Arial" w:eastAsia="Arial" w:cs="Arial"/>
        <w:sz w:val="15"/>
        <w:szCs w:val="15"/>
      </w:rPr>
    </w:pPr>
    <w:r>
      <w:rPr>
        <w:rFonts w:ascii="Arial" w:hAnsi="Arial" w:eastAsia="Arial" w:cs="Arial"/>
        <w:position w:val="1"/>
        <w:sz w:val="15"/>
        <w:szCs w:val="15"/>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BD25">
    <w:pPr>
      <w:spacing w:line="174" w:lineRule="auto"/>
      <w:ind w:left="4119"/>
      <w:rPr>
        <w:rFonts w:ascii="Times New Roman" w:hAnsi="Times New Roman" w:eastAsia="Times New Roman" w:cs="Times New Roman"/>
        <w:sz w:val="15"/>
        <w:szCs w:val="15"/>
      </w:rPr>
    </w:pPr>
    <w:r>
      <w:rPr>
        <w:rFonts w:ascii="Times New Roman" w:hAnsi="Times New Roman" w:eastAsia="Times New Roman" w:cs="Times New Roman"/>
        <w:sz w:val="15"/>
        <w:szCs w:val="15"/>
      </w:rPr>
      <w:t>2</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C814D">
    <w:pPr>
      <w:spacing w:line="174" w:lineRule="auto"/>
      <w:ind w:left="4090"/>
      <w:rPr>
        <w:rFonts w:ascii="Times New Roman" w:hAnsi="Times New Roman" w:eastAsia="Times New Roman" w:cs="Times New Roman"/>
        <w:sz w:val="15"/>
        <w:szCs w:val="15"/>
      </w:rPr>
    </w:pPr>
    <w:r>
      <w:rPr>
        <w:rFonts w:ascii="Times New Roman" w:hAnsi="Times New Roman" w:eastAsia="Times New Roman" w:cs="Times New Roman"/>
        <w:color w:val="405050"/>
        <w:sz w:val="15"/>
        <w:szCs w:val="15"/>
      </w:rPr>
      <w:t>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A786A">
    <w:pPr>
      <w:spacing w:line="14" w:lineRule="auto"/>
      <w:rPr>
        <w:rFonts w:ascii="Arial"/>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2A4B6">
    <w:pPr>
      <w:spacing w:line="174" w:lineRule="auto"/>
      <w:ind w:left="4395"/>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81D31">
    <w:pPr>
      <w:spacing w:line="173" w:lineRule="auto"/>
      <w:ind w:left="411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2721F">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color w:val="506060"/>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81B5F">
    <w:pPr>
      <w:spacing w:line="174" w:lineRule="auto"/>
      <w:ind w:left="4090"/>
      <w:rPr>
        <w:rFonts w:ascii="Times New Roman" w:hAnsi="Times New Roman" w:eastAsia="Times New Roman" w:cs="Times New Roman"/>
        <w:sz w:val="15"/>
        <w:szCs w:val="15"/>
      </w:rPr>
    </w:pPr>
    <w:r>
      <w:rPr>
        <w:rFonts w:ascii="Times New Roman" w:hAnsi="Times New Roman" w:eastAsia="Times New Roman" w:cs="Times New Roman"/>
        <w:sz w:val="15"/>
        <w:szCs w:val="15"/>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F1B8F">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006C6"/>
    <w:rsid w:val="75DC49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3"/>
      <w:szCs w:val="3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7.jpeg"/><Relationship Id="rId75" Type="http://schemas.openxmlformats.org/officeDocument/2006/relationships/image" Target="media/image6.png"/><Relationship Id="rId74" Type="http://schemas.openxmlformats.org/officeDocument/2006/relationships/image" Target="media/image5.jpeg"/><Relationship Id="rId73" Type="http://schemas.openxmlformats.org/officeDocument/2006/relationships/image" Target="media/image4.jpeg"/><Relationship Id="rId72" Type="http://schemas.openxmlformats.org/officeDocument/2006/relationships/image" Target="media/image3.jpeg"/><Relationship Id="rId71" Type="http://schemas.openxmlformats.org/officeDocument/2006/relationships/image" Target="media/image2.jpeg"/><Relationship Id="rId70" Type="http://schemas.openxmlformats.org/officeDocument/2006/relationships/image" Target="media/image1.jpeg"/><Relationship Id="rId7" Type="http://schemas.openxmlformats.org/officeDocument/2006/relationships/footer" Target="footer3.xml"/><Relationship Id="rId69" Type="http://schemas.openxmlformats.org/officeDocument/2006/relationships/theme" Target="theme/theme1.xml"/><Relationship Id="rId68" Type="http://schemas.openxmlformats.org/officeDocument/2006/relationships/footer" Target="footer63.xml"/><Relationship Id="rId67" Type="http://schemas.openxmlformats.org/officeDocument/2006/relationships/header" Target="header1.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3"/>
    <customShpInfo spid="_x0000_s1044"/>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9057</Words>
  <Characters>10473</Characters>
  <TotalTime>8</TotalTime>
  <ScaleCrop>false</ScaleCrop>
  <LinksUpToDate>false</LinksUpToDate>
  <CharactersWithSpaces>11222</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2026-05-21T10:40:00Z</dcterms:created>
  <dc:creator>Administrator</dc:creator>
  <cp:lastModifiedBy>郝</cp:lastModifiedBy>
  <dcterms:modified xsi:type="dcterms:W3CDTF">2026-05-22T02:43:20Z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2026-05-21T10:40:52Z</vt:filetime>
  </property>
  <property fmtid="{D5CDD505-2E9C-101B-9397-08002B2CF9AE}" pid="4" name="UsrData">
    <vt:lpwstr>6a0e709b115626001f50ee60wl</vt:lpwstr>
  </property>
  <property fmtid="{D5CDD505-2E9C-101B-9397-08002B2CF9AE}" pid="5" name="KSOTemplateDocerSaveRecord">
    <vt:lpwstr>eyJoZGlkIjoiNGQxMWYzMzgxYjIyODYwOTNiNWJlMTVkNjRmNTliYjQiLCJ1c2VySWQiOiIxMjkwMDMzMzk4In0=</vt:lpwstr>
  </property>
  <property fmtid="{D5CDD505-2E9C-101B-9397-08002B2CF9AE}" pid="6" name="KSOProductBuildVer">
    <vt:lpwstr>2052-12.1.0.25865</vt:lpwstr>
  </property>
  <property fmtid="{D5CDD505-2E9C-101B-9397-08002B2CF9AE}" pid="7" name="ICV">
    <vt:lpwstr>D6117D4885C34A77A639698DECCF9A08_13</vt:lpwstr>
  </property>
</Properties>
</file>