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9F5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bookmarkStart w:id="0" w:name="_GoBack"/>
      <w:bookmarkEnd w:id="0"/>
    </w:p>
    <w:p w14:paraId="7355E8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hint="eastAsia" w:ascii="仿宋_GB2312" w:hAnsi="Times New Roman" w:eastAsia="仿宋_GB2312" w:cs="仿宋_GB2312"/>
          <w:sz w:val="31"/>
          <w:szCs w:val="31"/>
        </w:rPr>
        <w:t>吉忽伦图苏木，五当召镇，各街道办事处、园区（景区）管委会，区直、驻区各部门、各单位，各人民团体：</w:t>
      </w:r>
    </w:p>
    <w:p w14:paraId="462EC84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hAnsi="Times New Roman" w:eastAsia="仿宋_GB2312" w:cs="仿宋_GB2312"/>
          <w:sz w:val="31"/>
          <w:szCs w:val="31"/>
        </w:rPr>
        <w:t>根据中共包头市石拐区委办公室、包头市石拐区人民政府办公室关于印发《石拐区关于深化苏木镇和街道改革推进基层整合审批服务执法力量工作方案的通知》（石党办发〔</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w:t>
      </w:r>
      <w:r>
        <w:rPr>
          <w:rFonts w:hint="default" w:ascii="Times New Roman" w:hAnsi="Times New Roman" w:cs="Times New Roman"/>
          <w:sz w:val="31"/>
          <w:szCs w:val="31"/>
        </w:rPr>
        <w:t>64</w:t>
      </w:r>
      <w:r>
        <w:rPr>
          <w:rFonts w:hint="eastAsia" w:ascii="仿宋_GB2312" w:hAnsi="Times New Roman" w:eastAsia="仿宋_GB2312" w:cs="仿宋_GB2312"/>
          <w:sz w:val="31"/>
          <w:szCs w:val="31"/>
        </w:rPr>
        <w:t>号）文件要求，苏木镇和街道的综合行政执法机构按照有关法律规定相对集中行驶行政处罚权，以苏木镇和街道名义开展执法工作，</w:t>
      </w:r>
      <w:r>
        <w:rPr>
          <w:rFonts w:hint="eastAsia" w:ascii="仿宋_GB2312" w:hAnsi="Times New Roman" w:eastAsia="仿宋_GB2312" w:cs="仿宋_GB2312"/>
          <w:color w:val="0C0C0C"/>
          <w:sz w:val="31"/>
          <w:szCs w:val="31"/>
        </w:rPr>
        <w:t>我区共设吉忽伦图综合执法局、五当召镇综合执法局、大德恒街道综合执法局、白狐沟街道综合执法局。从综合行政执法局成立以来，对自治区赋予苏木、乡镇、涉农街道办事处</w:t>
      </w:r>
      <w:r>
        <w:rPr>
          <w:rFonts w:hint="default" w:ascii="Times New Roman" w:hAnsi="Times New Roman" w:cs="Times New Roman"/>
          <w:color w:val="0C0C0C"/>
          <w:sz w:val="31"/>
          <w:szCs w:val="31"/>
        </w:rPr>
        <w:t>72</w:t>
      </w:r>
      <w:r>
        <w:rPr>
          <w:rFonts w:hint="eastAsia" w:ascii="仿宋_GB2312" w:hAnsi="Times New Roman" w:eastAsia="仿宋_GB2312" w:cs="仿宋_GB2312"/>
          <w:color w:val="0C0C0C"/>
          <w:sz w:val="31"/>
          <w:szCs w:val="31"/>
        </w:rPr>
        <w:t>项行政权力事项进行了细化梳理，已在开展工作，运行情况基本顺畅。现在需要对以上四个综合行政执法主体进行公示，</w:t>
      </w:r>
      <w:r>
        <w:rPr>
          <w:rFonts w:hint="eastAsia" w:ascii="仿宋_GB2312" w:hAnsi="Times New Roman" w:eastAsia="仿宋_GB2312" w:cs="仿宋_GB2312"/>
          <w:sz w:val="31"/>
          <w:szCs w:val="31"/>
        </w:rPr>
        <w:t>现将石拐区第二批行政执法权的行政机关公布如下：</w:t>
      </w:r>
    </w:p>
    <w:p w14:paraId="3EF48F7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hAnsi="Times New Roman" w:eastAsia="仿宋_GB2312" w:cs="仿宋_GB2312"/>
          <w:sz w:val="31"/>
          <w:szCs w:val="31"/>
        </w:rPr>
        <w:t>包头市石拐区五当召镇人民政府</w:t>
      </w:r>
    </w:p>
    <w:p w14:paraId="55CF7E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hAnsi="Times New Roman" w:eastAsia="仿宋_GB2312" w:cs="仿宋_GB2312"/>
          <w:sz w:val="31"/>
          <w:szCs w:val="31"/>
        </w:rPr>
        <w:t>包头市石拐区吉忽伦图苏木人民政府</w:t>
      </w:r>
    </w:p>
    <w:p w14:paraId="4504444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hAnsi="Times New Roman" w:eastAsia="仿宋_GB2312" w:cs="仿宋_GB2312"/>
          <w:sz w:val="31"/>
          <w:szCs w:val="31"/>
        </w:rPr>
        <w:t>包头市石拐区大德恒街道办事处</w:t>
      </w:r>
    </w:p>
    <w:p w14:paraId="22708E3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仿宋_GB2312" w:hAnsi="Times New Roman" w:eastAsia="仿宋_GB2312" w:cs="仿宋_GB2312"/>
          <w:sz w:val="31"/>
          <w:szCs w:val="31"/>
        </w:rPr>
        <w:t>包头市石拐区白狐沟街道办事处</w:t>
      </w:r>
    </w:p>
    <w:p w14:paraId="160B23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default" w:ascii="Times New Roman" w:hAnsi="Times New Roman" w:cs="Times New Roman"/>
          <w:sz w:val="31"/>
          <w:szCs w:val="31"/>
        </w:rPr>
        <w:t>                             </w:t>
      </w:r>
    </w:p>
    <w:p w14:paraId="3F73A3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485"/>
        <w:jc w:val="right"/>
        <w:textAlignment w:val="auto"/>
      </w:pPr>
      <w:r>
        <w:rPr>
          <w:rFonts w:hint="eastAsia" w:ascii="仿宋_GB2312" w:hAnsi="Times New Roman" w:eastAsia="仿宋_GB2312" w:cs="仿宋_GB2312"/>
          <w:sz w:val="31"/>
          <w:szCs w:val="31"/>
        </w:rPr>
        <w:t>石拐区人民政府办公室</w:t>
      </w:r>
    </w:p>
    <w:p w14:paraId="75481B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right"/>
        <w:textAlignment w:val="auto"/>
      </w:pPr>
      <w:r>
        <w:rPr>
          <w:rFonts w:hint="eastAsia" w:ascii="仿宋_GB2312" w:eastAsia="仿宋_GB2312" w:cs="仿宋_GB2312"/>
          <w:sz w:val="31"/>
          <w:szCs w:val="31"/>
        </w:rPr>
        <w:t> </w:t>
      </w:r>
      <w:r>
        <w:rPr>
          <w:rFonts w:hint="default" w:ascii="Times New Roman" w:hAnsi="Times New Roman" w:cs="Times New Roman"/>
          <w:sz w:val="31"/>
          <w:szCs w:val="31"/>
        </w:rPr>
        <w:t>2021</w:t>
      </w:r>
      <w:r>
        <w:rPr>
          <w:rFonts w:hint="eastAsia" w:ascii="仿宋_GB2312" w:hAnsi="Times New Roman" w:eastAsia="仿宋_GB2312" w:cs="仿宋_GB2312"/>
          <w:sz w:val="31"/>
          <w:szCs w:val="31"/>
        </w:rPr>
        <w:t>年</w:t>
      </w:r>
      <w:r>
        <w:rPr>
          <w:rFonts w:hint="default" w:ascii="Times New Roman" w:hAnsi="Times New Roman" w:eastAsia="仿宋_GB2312" w:cs="Times New Roman"/>
          <w:sz w:val="31"/>
          <w:szCs w:val="31"/>
        </w:rPr>
        <w:t>7</w:t>
      </w:r>
      <w:r>
        <w:rPr>
          <w:rFonts w:hint="eastAsia" w:ascii="仿宋_GB2312" w:hAnsi="Times New Roman" w:eastAsia="仿宋_GB2312" w:cs="仿宋_GB2312"/>
          <w:sz w:val="31"/>
          <w:szCs w:val="31"/>
        </w:rPr>
        <w:t>月</w:t>
      </w:r>
      <w:r>
        <w:rPr>
          <w:rFonts w:hint="default" w:ascii="Times New Roman" w:hAnsi="Times New Roman" w:eastAsia="仿宋_GB2312" w:cs="Times New Roman"/>
          <w:sz w:val="31"/>
          <w:szCs w:val="31"/>
        </w:rPr>
        <w:t>1</w:t>
      </w:r>
      <w:r>
        <w:rPr>
          <w:rFonts w:hint="eastAsia" w:ascii="仿宋_GB2312" w:hAnsi="Times New Roman" w:eastAsia="仿宋_GB2312" w:cs="仿宋_GB2312"/>
          <w:sz w:val="31"/>
          <w:szCs w:val="31"/>
        </w:rPr>
        <w:t>日</w:t>
      </w:r>
    </w:p>
    <w:p w14:paraId="0BB2E0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800"/>
        <w:textAlignment w:val="auto"/>
      </w:pPr>
      <w:r>
        <w:rPr>
          <w:rFonts w:hint="default" w:ascii="Times New Roman" w:hAnsi="Times New Roman" w:cs="Times New Roman"/>
          <w:sz w:val="31"/>
          <w:szCs w:val="31"/>
        </w:rPr>
        <w:t> </w:t>
      </w:r>
    </w:p>
    <w:p w14:paraId="3CCEA7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800"/>
        <w:textAlignment w:val="auto"/>
      </w:pPr>
      <w:r>
        <w:rPr>
          <w:rFonts w:hint="default" w:ascii="Times New Roman" w:hAnsi="Times New Roman" w:cs="Times New Roman"/>
          <w:sz w:val="31"/>
          <w:szCs w:val="31"/>
        </w:rPr>
        <w:t> </w:t>
      </w:r>
    </w:p>
    <w:p w14:paraId="6BA07D3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800"/>
        <w:textAlignment w:val="auto"/>
      </w:pPr>
      <w:r>
        <w:rPr>
          <w:rFonts w:hint="default" w:ascii="Times New Roman" w:hAnsi="Times New Roman" w:cs="Times New Roman"/>
          <w:sz w:val="31"/>
          <w:szCs w:val="31"/>
        </w:rPr>
        <w:t> </w:t>
      </w:r>
    </w:p>
    <w:p w14:paraId="2CBB3AE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default" w:ascii="Times New Roman" w:hAnsi="Times New Roman" w:cs="Times New Roman"/>
          <w:sz w:val="31"/>
          <w:szCs w:val="31"/>
        </w:rPr>
        <w:t> </w:t>
      </w:r>
    </w:p>
    <w:p w14:paraId="2F4F9F9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pPr>
    </w:p>
    <w:p w14:paraId="7DF02C3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57D13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