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282F8">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吉忽伦图苏木</w:t>
      </w:r>
      <w:r>
        <w:rPr>
          <w:rFonts w:hint="eastAsia" w:ascii="仿宋_GB2312" w:hAnsi="仿宋_GB2312" w:eastAsia="仿宋_GB2312" w:cs="仿宋_GB2312"/>
          <w:i w:val="0"/>
          <w:iCs w:val="0"/>
          <w:caps w:val="0"/>
          <w:color w:val="000000"/>
          <w:spacing w:val="0"/>
          <w:sz w:val="32"/>
          <w:szCs w:val="32"/>
        </w:rPr>
        <w:t>、五当召镇</w:t>
      </w:r>
      <w:r>
        <w:rPr>
          <w:rFonts w:hint="eastAsia" w:ascii="仿宋_GB2312" w:hAnsi="仿宋_GB2312" w:eastAsia="仿宋_GB2312" w:cs="仿宋_GB2312"/>
          <w:i w:val="0"/>
          <w:iCs w:val="0"/>
          <w:caps w:val="0"/>
          <w:color w:val="000000"/>
          <w:spacing w:val="0"/>
          <w:sz w:val="32"/>
          <w:szCs w:val="32"/>
        </w:rPr>
        <w:t>、白狐沟</w:t>
      </w:r>
      <w:r>
        <w:rPr>
          <w:rFonts w:hint="eastAsia" w:ascii="仿宋_GB2312" w:hAnsi="仿宋_GB2312" w:eastAsia="仿宋_GB2312" w:cs="仿宋_GB2312"/>
          <w:i w:val="0"/>
          <w:iCs w:val="0"/>
          <w:caps w:val="0"/>
          <w:color w:val="000000"/>
          <w:spacing w:val="0"/>
          <w:sz w:val="32"/>
          <w:szCs w:val="32"/>
        </w:rPr>
        <w:t>街道</w:t>
      </w:r>
      <w:r>
        <w:rPr>
          <w:rFonts w:hint="eastAsia" w:ascii="仿宋_GB2312" w:hAnsi="仿宋_GB2312" w:eastAsia="仿宋_GB2312" w:cs="仿宋_GB2312"/>
          <w:i w:val="0"/>
          <w:iCs w:val="0"/>
          <w:caps w:val="0"/>
          <w:color w:val="000000"/>
          <w:spacing w:val="0"/>
          <w:sz w:val="32"/>
          <w:szCs w:val="32"/>
        </w:rPr>
        <w:t>办事处、大德恒</w:t>
      </w:r>
      <w:r>
        <w:rPr>
          <w:rFonts w:hint="eastAsia" w:ascii="仿宋_GB2312" w:hAnsi="仿宋_GB2312" w:eastAsia="仿宋_GB2312" w:cs="仿宋_GB2312"/>
          <w:i w:val="0"/>
          <w:iCs w:val="0"/>
          <w:caps w:val="0"/>
          <w:color w:val="000000"/>
          <w:spacing w:val="0"/>
          <w:sz w:val="32"/>
          <w:szCs w:val="32"/>
        </w:rPr>
        <w:t>街道</w:t>
      </w:r>
      <w:r>
        <w:rPr>
          <w:rFonts w:hint="eastAsia" w:ascii="仿宋_GB2312" w:hAnsi="仿宋_GB2312" w:eastAsia="仿宋_GB2312" w:cs="仿宋_GB2312"/>
          <w:i w:val="0"/>
          <w:iCs w:val="0"/>
          <w:caps w:val="0"/>
          <w:color w:val="000000"/>
          <w:spacing w:val="0"/>
          <w:sz w:val="32"/>
          <w:szCs w:val="32"/>
        </w:rPr>
        <w:t>办事处</w:t>
      </w:r>
      <w:r>
        <w:rPr>
          <w:rFonts w:hint="eastAsia" w:ascii="仿宋_GB2312" w:hAnsi="仿宋_GB2312" w:eastAsia="仿宋_GB2312" w:cs="仿宋_GB2312"/>
          <w:i w:val="0"/>
          <w:iCs w:val="0"/>
          <w:caps w:val="0"/>
          <w:color w:val="000000"/>
          <w:spacing w:val="0"/>
          <w:sz w:val="32"/>
          <w:szCs w:val="32"/>
        </w:rPr>
        <w:t>：</w:t>
      </w:r>
    </w:p>
    <w:p w14:paraId="54623F0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645"/>
        <w:jc w:val="lef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vertAlign w:val="baseline"/>
        </w:rPr>
        <w:t>经</w:t>
      </w:r>
      <w:r>
        <w:rPr>
          <w:rFonts w:hint="eastAsia" w:ascii="仿宋_GB2312" w:hAnsi="仿宋_GB2312" w:eastAsia="仿宋_GB2312" w:cs="仿宋_GB2312"/>
          <w:i w:val="0"/>
          <w:iCs w:val="0"/>
          <w:caps w:val="0"/>
          <w:color w:val="000000"/>
          <w:spacing w:val="0"/>
          <w:sz w:val="32"/>
          <w:szCs w:val="32"/>
          <w:vertAlign w:val="baseline"/>
        </w:rPr>
        <w:t>5</w:t>
      </w:r>
      <w:r>
        <w:rPr>
          <w:rFonts w:hint="eastAsia" w:ascii="仿宋_GB2312" w:hAnsi="仿宋_GB2312" w:eastAsia="仿宋_GB2312" w:cs="仿宋_GB2312"/>
          <w:i w:val="0"/>
          <w:iCs w:val="0"/>
          <w:caps w:val="0"/>
          <w:color w:val="000000"/>
          <w:spacing w:val="0"/>
          <w:sz w:val="32"/>
          <w:szCs w:val="32"/>
          <w:vertAlign w:val="baseline"/>
        </w:rPr>
        <w:t>月 </w:t>
      </w:r>
      <w:r>
        <w:rPr>
          <w:rFonts w:hint="eastAsia" w:ascii="仿宋_GB2312" w:hAnsi="仿宋_GB2312" w:eastAsia="仿宋_GB2312" w:cs="仿宋_GB2312"/>
          <w:i w:val="0"/>
          <w:iCs w:val="0"/>
          <w:caps w:val="0"/>
          <w:color w:val="000000"/>
          <w:spacing w:val="0"/>
          <w:sz w:val="32"/>
          <w:szCs w:val="32"/>
          <w:vertAlign w:val="baseline"/>
        </w:rPr>
        <w:t>17</w:t>
      </w:r>
      <w:r>
        <w:rPr>
          <w:rFonts w:hint="eastAsia" w:ascii="仿宋_GB2312" w:hAnsi="仿宋_GB2312" w:eastAsia="仿宋_GB2312" w:cs="仿宋_GB2312"/>
          <w:i w:val="0"/>
          <w:iCs w:val="0"/>
          <w:caps w:val="0"/>
          <w:color w:val="000000"/>
          <w:spacing w:val="0"/>
          <w:sz w:val="32"/>
          <w:szCs w:val="32"/>
          <w:vertAlign w:val="baseline"/>
        </w:rPr>
        <w:t>日召开</w:t>
      </w:r>
      <w:r>
        <w:rPr>
          <w:rFonts w:hint="eastAsia" w:ascii="仿宋_GB2312" w:hAnsi="仿宋_GB2312" w:eastAsia="仿宋_GB2312" w:cs="仿宋_GB2312"/>
          <w:i w:val="0"/>
          <w:iCs w:val="0"/>
          <w:caps w:val="0"/>
          <w:color w:val="000000"/>
          <w:spacing w:val="0"/>
          <w:sz w:val="32"/>
          <w:szCs w:val="32"/>
          <w:vertAlign w:val="baseline"/>
        </w:rPr>
        <w:t>的</w:t>
      </w:r>
      <w:r>
        <w:rPr>
          <w:rFonts w:hint="eastAsia" w:ascii="仿宋_GB2312" w:hAnsi="仿宋_GB2312" w:eastAsia="仿宋_GB2312" w:cs="仿宋_GB2312"/>
          <w:i w:val="0"/>
          <w:iCs w:val="0"/>
          <w:caps w:val="0"/>
          <w:color w:val="000000"/>
          <w:spacing w:val="0"/>
          <w:sz w:val="32"/>
          <w:szCs w:val="32"/>
          <w:vertAlign w:val="baseline"/>
        </w:rPr>
        <w:t>石拐区人民政府</w:t>
      </w:r>
      <w:r>
        <w:rPr>
          <w:rFonts w:hint="eastAsia" w:ascii="仿宋_GB2312" w:hAnsi="仿宋_GB2312" w:eastAsia="仿宋_GB2312" w:cs="仿宋_GB2312"/>
          <w:i w:val="0"/>
          <w:iCs w:val="0"/>
          <w:caps w:val="0"/>
          <w:color w:val="000000"/>
          <w:spacing w:val="0"/>
          <w:sz w:val="32"/>
          <w:szCs w:val="32"/>
          <w:vertAlign w:val="baseline"/>
        </w:rPr>
        <w:t> 2023 </w:t>
      </w:r>
      <w:r>
        <w:rPr>
          <w:rFonts w:hint="eastAsia" w:ascii="仿宋_GB2312" w:hAnsi="仿宋_GB2312" w:eastAsia="仿宋_GB2312" w:cs="仿宋_GB2312"/>
          <w:i w:val="0"/>
          <w:iCs w:val="0"/>
          <w:caps w:val="0"/>
          <w:color w:val="000000"/>
          <w:spacing w:val="0"/>
          <w:sz w:val="32"/>
          <w:szCs w:val="32"/>
          <w:vertAlign w:val="baseline"/>
        </w:rPr>
        <w:t>年第</w:t>
      </w:r>
      <w:r>
        <w:rPr>
          <w:rFonts w:hint="eastAsia" w:ascii="仿宋_GB2312" w:hAnsi="仿宋_GB2312" w:eastAsia="仿宋_GB2312" w:cs="仿宋_GB2312"/>
          <w:i w:val="0"/>
          <w:iCs w:val="0"/>
          <w:caps w:val="0"/>
          <w:color w:val="000000"/>
          <w:spacing w:val="0"/>
          <w:sz w:val="32"/>
          <w:szCs w:val="32"/>
          <w:vertAlign w:val="baseline"/>
        </w:rPr>
        <w:t>8 </w:t>
      </w:r>
      <w:r>
        <w:rPr>
          <w:rFonts w:hint="eastAsia" w:ascii="仿宋_GB2312" w:hAnsi="仿宋_GB2312" w:eastAsia="仿宋_GB2312" w:cs="仿宋_GB2312"/>
          <w:i w:val="0"/>
          <w:iCs w:val="0"/>
          <w:caps w:val="0"/>
          <w:color w:val="000000"/>
          <w:spacing w:val="0"/>
          <w:sz w:val="32"/>
          <w:szCs w:val="32"/>
          <w:vertAlign w:val="baseline"/>
        </w:rPr>
        <w:t>次常务会议</w:t>
      </w:r>
      <w:r>
        <w:rPr>
          <w:rFonts w:hint="eastAsia" w:ascii="仿宋_GB2312" w:hAnsi="仿宋_GB2312" w:eastAsia="仿宋_GB2312" w:cs="仿宋_GB2312"/>
          <w:i w:val="0"/>
          <w:iCs w:val="0"/>
          <w:caps w:val="0"/>
          <w:color w:val="000000"/>
          <w:spacing w:val="0"/>
          <w:sz w:val="32"/>
          <w:szCs w:val="32"/>
          <w:vertAlign w:val="baseline"/>
        </w:rPr>
        <w:t>研究</w:t>
      </w:r>
      <w:r>
        <w:rPr>
          <w:rFonts w:hint="eastAsia" w:ascii="仿宋_GB2312" w:hAnsi="仿宋_GB2312" w:eastAsia="仿宋_GB2312" w:cs="仿宋_GB2312"/>
          <w:i w:val="0"/>
          <w:iCs w:val="0"/>
          <w:caps w:val="0"/>
          <w:color w:val="000000"/>
          <w:spacing w:val="0"/>
          <w:sz w:val="32"/>
          <w:szCs w:val="32"/>
          <w:vertAlign w:val="baseline"/>
        </w:rPr>
        <w:t>同意，现将《</w:t>
      </w:r>
      <w:r>
        <w:rPr>
          <w:rFonts w:hint="eastAsia" w:ascii="仿宋_GB2312" w:hAnsi="仿宋_GB2312" w:eastAsia="仿宋_GB2312" w:cs="仿宋_GB2312"/>
          <w:i w:val="0"/>
          <w:iCs w:val="0"/>
          <w:caps w:val="0"/>
          <w:color w:val="000000"/>
          <w:spacing w:val="0"/>
          <w:sz w:val="32"/>
          <w:szCs w:val="32"/>
          <w:vertAlign w:val="baseline"/>
        </w:rPr>
        <w:t>石拐区</w:t>
      </w:r>
      <w:r>
        <w:rPr>
          <w:rFonts w:hint="eastAsia" w:ascii="仿宋_GB2312" w:hAnsi="仿宋_GB2312" w:eastAsia="仿宋_GB2312" w:cs="仿宋_GB2312"/>
          <w:i w:val="0"/>
          <w:iCs w:val="0"/>
          <w:caps w:val="0"/>
          <w:color w:val="000000"/>
          <w:spacing w:val="0"/>
          <w:sz w:val="32"/>
          <w:szCs w:val="32"/>
          <w:vertAlign w:val="baseline"/>
        </w:rPr>
        <w:t>2023</w:t>
      </w:r>
      <w:r>
        <w:rPr>
          <w:rFonts w:hint="eastAsia" w:ascii="仿宋_GB2312" w:hAnsi="仿宋_GB2312" w:eastAsia="仿宋_GB2312" w:cs="仿宋_GB2312"/>
          <w:i w:val="0"/>
          <w:iCs w:val="0"/>
          <w:caps w:val="0"/>
          <w:color w:val="000000"/>
          <w:spacing w:val="0"/>
          <w:sz w:val="32"/>
          <w:szCs w:val="32"/>
          <w:vertAlign w:val="baseline"/>
        </w:rPr>
        <w:t>年农村牧区厕所革命实施方案</w:t>
      </w:r>
      <w:r>
        <w:rPr>
          <w:rFonts w:hint="eastAsia" w:ascii="仿宋_GB2312" w:hAnsi="仿宋_GB2312" w:eastAsia="仿宋_GB2312" w:cs="仿宋_GB2312"/>
          <w:i w:val="0"/>
          <w:iCs w:val="0"/>
          <w:caps w:val="0"/>
          <w:color w:val="000000"/>
          <w:spacing w:val="0"/>
          <w:sz w:val="32"/>
          <w:szCs w:val="32"/>
          <w:vertAlign w:val="baseline"/>
        </w:rPr>
        <w:t>》印发给你们，请结合实际，认真贯彻落实。</w:t>
      </w:r>
    </w:p>
    <w:p w14:paraId="62875E0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0"/>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vertAlign w:val="baseline"/>
        </w:rPr>
        <w:t> </w:t>
      </w:r>
    </w:p>
    <w:p w14:paraId="3FF241C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60" w:lineRule="exact"/>
        <w:ind w:left="0" w:right="0" w:firstLine="0"/>
        <w:jc w:val="right"/>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vertAlign w:val="baseline"/>
        </w:rPr>
        <w:t>                         </w:t>
      </w:r>
      <w:r>
        <w:rPr>
          <w:rFonts w:hint="eastAsia" w:ascii="仿宋_GB2312" w:hAnsi="仿宋_GB2312" w:eastAsia="仿宋_GB2312" w:cs="仿宋_GB2312"/>
          <w:i w:val="0"/>
          <w:iCs w:val="0"/>
          <w:caps w:val="0"/>
          <w:color w:val="000000"/>
          <w:spacing w:val="0"/>
          <w:sz w:val="32"/>
          <w:szCs w:val="32"/>
          <w:vertAlign w:val="baseline"/>
        </w:rPr>
        <w:t>  </w:t>
      </w:r>
      <w:r>
        <w:rPr>
          <w:rFonts w:hint="eastAsia" w:ascii="仿宋_GB2312" w:hAnsi="仿宋_GB2312" w:eastAsia="仿宋_GB2312" w:cs="仿宋_GB2312"/>
          <w:i w:val="0"/>
          <w:iCs w:val="0"/>
          <w:caps w:val="0"/>
          <w:color w:val="000000"/>
          <w:spacing w:val="0"/>
          <w:sz w:val="32"/>
          <w:szCs w:val="32"/>
          <w:vertAlign w:val="baseline"/>
        </w:rPr>
        <w:t> 202</w:t>
      </w:r>
      <w:r>
        <w:rPr>
          <w:rFonts w:hint="eastAsia" w:ascii="仿宋_GB2312" w:hAnsi="仿宋_GB2312" w:eastAsia="仿宋_GB2312" w:cs="仿宋_GB2312"/>
          <w:i w:val="0"/>
          <w:iCs w:val="0"/>
          <w:caps w:val="0"/>
          <w:color w:val="000000"/>
          <w:spacing w:val="0"/>
          <w:sz w:val="32"/>
          <w:szCs w:val="32"/>
          <w:vertAlign w:val="baseline"/>
        </w:rPr>
        <w:t>3</w:t>
      </w:r>
      <w:r>
        <w:rPr>
          <w:rFonts w:hint="eastAsia" w:ascii="仿宋_GB2312" w:hAnsi="仿宋_GB2312" w:eastAsia="仿宋_GB2312" w:cs="仿宋_GB2312"/>
          <w:i w:val="0"/>
          <w:iCs w:val="0"/>
          <w:caps w:val="0"/>
          <w:color w:val="000000"/>
          <w:spacing w:val="0"/>
          <w:sz w:val="32"/>
          <w:szCs w:val="32"/>
          <w:vertAlign w:val="baseline"/>
        </w:rPr>
        <w:t>年</w:t>
      </w:r>
      <w:r>
        <w:rPr>
          <w:rFonts w:hint="eastAsia" w:ascii="仿宋_GB2312" w:hAnsi="仿宋_GB2312" w:eastAsia="仿宋_GB2312" w:cs="仿宋_GB2312"/>
          <w:i w:val="0"/>
          <w:iCs w:val="0"/>
          <w:caps w:val="0"/>
          <w:color w:val="000000"/>
          <w:spacing w:val="0"/>
          <w:sz w:val="32"/>
          <w:szCs w:val="32"/>
          <w:vertAlign w:val="baseline"/>
        </w:rPr>
        <w:t>6</w:t>
      </w:r>
      <w:r>
        <w:rPr>
          <w:rFonts w:hint="eastAsia" w:ascii="仿宋_GB2312" w:hAnsi="仿宋_GB2312" w:eastAsia="仿宋_GB2312" w:cs="仿宋_GB2312"/>
          <w:i w:val="0"/>
          <w:iCs w:val="0"/>
          <w:caps w:val="0"/>
          <w:color w:val="000000"/>
          <w:spacing w:val="0"/>
          <w:sz w:val="32"/>
          <w:szCs w:val="32"/>
          <w:vertAlign w:val="baseline"/>
        </w:rPr>
        <w:t>月</w:t>
      </w:r>
      <w:r>
        <w:rPr>
          <w:rFonts w:hint="eastAsia" w:ascii="仿宋_GB2312" w:hAnsi="仿宋_GB2312" w:eastAsia="仿宋_GB2312" w:cs="仿宋_GB2312"/>
          <w:i w:val="0"/>
          <w:iCs w:val="0"/>
          <w:caps w:val="0"/>
          <w:color w:val="000000"/>
          <w:spacing w:val="0"/>
          <w:sz w:val="32"/>
          <w:szCs w:val="32"/>
          <w:vertAlign w:val="baseline"/>
        </w:rPr>
        <w:t>20</w:t>
      </w:r>
      <w:r>
        <w:rPr>
          <w:rFonts w:hint="eastAsia" w:ascii="仿宋_GB2312" w:hAnsi="仿宋_GB2312" w:eastAsia="仿宋_GB2312" w:cs="仿宋_GB2312"/>
          <w:i w:val="0"/>
          <w:iCs w:val="0"/>
          <w:caps w:val="0"/>
          <w:color w:val="000000"/>
          <w:spacing w:val="0"/>
          <w:sz w:val="32"/>
          <w:szCs w:val="32"/>
          <w:vertAlign w:val="baseline"/>
        </w:rPr>
        <w:t>日</w:t>
      </w:r>
    </w:p>
    <w:p w14:paraId="7B1B6339">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14:paraId="0C7D5538">
      <w:pPr>
        <w:pStyle w:val="2"/>
        <w:keepNext w:val="0"/>
        <w:keepLines w:val="0"/>
        <w:pageBreakBefore w:val="0"/>
        <w:widowControl/>
        <w:suppressLineNumbers w:val="0"/>
        <w:kinsoku/>
        <w:overflowPunct/>
        <w:topLinePunct w:val="0"/>
        <w:autoSpaceDE/>
        <w:autoSpaceDN/>
        <w:bidi w:val="0"/>
        <w:adjustRightInd w:val="0"/>
        <w:snapToGrid w:val="0"/>
        <w:spacing w:beforeAutospacing="0" w:afterAutospacing="0" w:line="560" w:lineRule="exact"/>
        <w:ind w:left="0" w:firstLine="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24"/>
          <w:szCs w:val="24"/>
        </w:rPr>
        <w:t> </w:t>
      </w:r>
    </w:p>
    <w:p w14:paraId="4B1B23F6">
      <w:pPr>
        <w:pStyle w:val="2"/>
        <w:keepNext w:val="0"/>
        <w:keepLines w:val="0"/>
        <w:pageBreakBefore w:val="0"/>
        <w:widowControl/>
        <w:suppressLineNumbers w:val="0"/>
        <w:kinsoku/>
        <w:overflowPunct/>
        <w:topLinePunct w:val="0"/>
        <w:autoSpaceDE/>
        <w:autoSpaceDN/>
        <w:bidi w:val="0"/>
        <w:adjustRightInd w:val="0"/>
        <w:snapToGrid w:val="0"/>
        <w:spacing w:beforeAutospacing="0" w:afterAutospacing="0" w:line="560" w:lineRule="exact"/>
        <w:ind w:left="0" w:firstLine="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24"/>
          <w:szCs w:val="24"/>
        </w:rPr>
        <w:t> </w:t>
      </w:r>
    </w:p>
    <w:p w14:paraId="57485F00">
      <w:pPr>
        <w:pStyle w:val="2"/>
        <w:keepNext w:val="0"/>
        <w:keepLines w:val="0"/>
        <w:pageBreakBefore w:val="0"/>
        <w:widowControl/>
        <w:suppressLineNumbers w:val="0"/>
        <w:kinsoku/>
        <w:overflowPunct/>
        <w:topLinePunct w:val="0"/>
        <w:autoSpaceDE/>
        <w:autoSpaceDN/>
        <w:bidi w:val="0"/>
        <w:adjustRightInd w:val="0"/>
        <w:snapToGrid w:val="0"/>
        <w:spacing w:beforeAutospacing="0" w:afterAutospacing="0" w:line="560" w:lineRule="exact"/>
        <w:ind w:left="0" w:firstLine="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24"/>
          <w:szCs w:val="24"/>
        </w:rPr>
        <w:t> </w:t>
      </w:r>
    </w:p>
    <w:p w14:paraId="23A27942">
      <w:pPr>
        <w:keepNext w:val="0"/>
        <w:keepLines w:val="0"/>
        <w:pageBreakBefore w:val="0"/>
        <w:kinsoku/>
        <w:overflowPunct/>
        <w:topLinePunct w:val="0"/>
        <w:autoSpaceDE/>
        <w:autoSpaceDN/>
        <w:bidi w:val="0"/>
        <w:adjustRightInd w:val="0"/>
        <w:snapToGrid w:val="0"/>
        <w:spacing w:beforeAutospacing="0" w:afterAutospacing="0" w:line="560" w:lineRule="exact"/>
        <w:rPr>
          <w:rFonts w:ascii="方正小标宋_GBK" w:hAnsi="方正小标宋_GBK" w:eastAsia="方正小标宋_GBK" w:cs="方正小标宋_GBK"/>
          <w:i w:val="0"/>
          <w:iCs w:val="0"/>
          <w:caps w:val="0"/>
          <w:color w:val="000000"/>
          <w:spacing w:val="0"/>
          <w:sz w:val="48"/>
          <w:szCs w:val="48"/>
        </w:rPr>
      </w:pPr>
      <w:r>
        <w:rPr>
          <w:rFonts w:ascii="方正小标宋_GBK" w:hAnsi="方正小标宋_GBK" w:eastAsia="方正小标宋_GBK" w:cs="方正小标宋_GBK"/>
          <w:i w:val="0"/>
          <w:iCs w:val="0"/>
          <w:caps w:val="0"/>
          <w:color w:val="000000"/>
          <w:spacing w:val="0"/>
          <w:sz w:val="48"/>
          <w:szCs w:val="48"/>
        </w:rPr>
        <w:br w:type="page"/>
      </w:r>
    </w:p>
    <w:p w14:paraId="4627B131">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石拐区2023年农村牧区厕所革命</w:t>
      </w:r>
    </w:p>
    <w:p w14:paraId="3927B886">
      <w:pPr>
        <w:pStyle w:val="2"/>
        <w:keepNext w:val="0"/>
        <w:keepLines w:val="0"/>
        <w:pageBreakBefore w:val="0"/>
        <w:widowControl/>
        <w:suppressLineNumbers w:val="0"/>
        <w:kinsoku/>
        <w:overflowPunct/>
        <w:topLinePunct w:val="0"/>
        <w:autoSpaceDE/>
        <w:autoSpaceDN/>
        <w:bidi w:val="0"/>
        <w:adjustRightInd w:val="0"/>
        <w:snapToGrid w:val="0"/>
        <w:spacing w:beforeAutospacing="0" w:after="0" w:afterAutospacing="0" w:line="560" w:lineRule="exact"/>
        <w:ind w:left="0" w:right="0" w:firstLine="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实施方案</w:t>
      </w:r>
    </w:p>
    <w:p w14:paraId="5BEE9C17">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96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48"/>
          <w:szCs w:val="48"/>
        </w:rPr>
        <w:t> </w:t>
      </w:r>
    </w:p>
    <w:p w14:paraId="3F8DB9E9">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ascii="仿宋_GB2312" w:hAnsi="Times New Roman" w:eastAsia="仿宋_GB2312" w:cs="仿宋_GB2312"/>
          <w:i w:val="0"/>
          <w:iCs w:val="0"/>
          <w:caps w:val="0"/>
          <w:color w:val="000000"/>
          <w:spacing w:val="0"/>
          <w:sz w:val="31"/>
          <w:szCs w:val="31"/>
        </w:rPr>
        <w:t>为深入贯彻习近平总书记关于农村厕所革命的重要指示批示精神，全面落实中央、自治区、包头市和区委、区政府关于提高农村改厕质量的决策部署，不断提升我区农村牧区卫生厕所覆盖率，改善农村牧区人居环境水平。按照《关于扎实推进</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十四五</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农村厕所革命的指导意见》（农社发〔</w:t>
      </w:r>
      <w:r>
        <w:rPr>
          <w:rFonts w:hint="default" w:ascii="Times New Roman" w:hAnsi="Times New Roman" w:eastAsia="sans-serif" w:cs="Times New Roman"/>
          <w:i w:val="0"/>
          <w:iCs w:val="0"/>
          <w:caps w:val="0"/>
          <w:color w:val="000000"/>
          <w:spacing w:val="0"/>
          <w:sz w:val="31"/>
          <w:szCs w:val="31"/>
        </w:rPr>
        <w:t>2021</w:t>
      </w:r>
      <w:r>
        <w:rPr>
          <w:rFonts w:hint="eastAsia" w:ascii="仿宋_GB2312" w:hAnsi="Times New Roman" w:eastAsia="仿宋_GB2312" w:cs="仿宋_GB2312"/>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1</w:t>
      </w:r>
      <w:r>
        <w:rPr>
          <w:rFonts w:hint="eastAsia" w:ascii="仿宋_GB2312" w:hAnsi="Times New Roman" w:eastAsia="仿宋_GB2312" w:cs="仿宋_GB2312"/>
          <w:i w:val="0"/>
          <w:iCs w:val="0"/>
          <w:caps w:val="0"/>
          <w:color w:val="000000"/>
          <w:spacing w:val="0"/>
          <w:sz w:val="31"/>
          <w:szCs w:val="31"/>
        </w:rPr>
        <w:t>号）、《关于印发</w:t>
      </w:r>
      <w:r>
        <w:rPr>
          <w:rFonts w:hint="default" w:ascii="Times New Roman" w:hAnsi="Times New Roman" w:eastAsia="sans-serif" w:cs="Times New Roman"/>
          <w:i w:val="0"/>
          <w:iCs w:val="0"/>
          <w:caps w:val="0"/>
          <w:color w:val="000000"/>
          <w:spacing w:val="0"/>
          <w:sz w:val="31"/>
          <w:szCs w:val="31"/>
        </w:rPr>
        <w:t>&lt;</w:t>
      </w:r>
      <w:r>
        <w:rPr>
          <w:rFonts w:hint="eastAsia" w:ascii="仿宋_GB2312" w:hAnsi="Times New Roman" w:eastAsia="仿宋_GB2312" w:cs="仿宋_GB2312"/>
          <w:i w:val="0"/>
          <w:iCs w:val="0"/>
          <w:caps w:val="0"/>
          <w:color w:val="000000"/>
          <w:spacing w:val="0"/>
          <w:sz w:val="31"/>
          <w:szCs w:val="31"/>
        </w:rPr>
        <w:t>内蒙古自治区</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十四五</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农村牧区厕所革命实施方案</w:t>
      </w:r>
      <w:r>
        <w:rPr>
          <w:rFonts w:hint="default" w:ascii="Times New Roman" w:hAnsi="Times New Roman" w:eastAsia="sans-serif" w:cs="Times New Roman"/>
          <w:i w:val="0"/>
          <w:iCs w:val="0"/>
          <w:caps w:val="0"/>
          <w:color w:val="000000"/>
          <w:spacing w:val="0"/>
          <w:sz w:val="31"/>
          <w:szCs w:val="31"/>
        </w:rPr>
        <w:t>&gt;</w:t>
      </w:r>
      <w:r>
        <w:rPr>
          <w:rFonts w:hint="eastAsia" w:ascii="仿宋_GB2312" w:hAnsi="Times New Roman" w:eastAsia="仿宋_GB2312" w:cs="仿宋_GB2312"/>
          <w:i w:val="0"/>
          <w:iCs w:val="0"/>
          <w:caps w:val="0"/>
          <w:color w:val="000000"/>
          <w:spacing w:val="0"/>
          <w:sz w:val="31"/>
          <w:szCs w:val="31"/>
        </w:rPr>
        <w:t>的通知》（内农牧社发〔</w:t>
      </w:r>
      <w:r>
        <w:rPr>
          <w:rFonts w:hint="default" w:ascii="Times New Roman" w:hAnsi="Times New Roman" w:eastAsia="sans-serif" w:cs="Times New Roman"/>
          <w:i w:val="0"/>
          <w:iCs w:val="0"/>
          <w:caps w:val="0"/>
          <w:color w:val="000000"/>
          <w:spacing w:val="0"/>
          <w:sz w:val="31"/>
          <w:szCs w:val="31"/>
        </w:rPr>
        <w:t>2021</w:t>
      </w:r>
      <w:r>
        <w:rPr>
          <w:rFonts w:hint="eastAsia" w:ascii="仿宋_GB2312" w:hAnsi="Times New Roman" w:eastAsia="仿宋_GB2312" w:cs="仿宋_GB2312"/>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113</w:t>
      </w:r>
      <w:r>
        <w:rPr>
          <w:rFonts w:hint="eastAsia" w:ascii="仿宋_GB2312" w:hAnsi="Times New Roman" w:eastAsia="仿宋_GB2312" w:cs="仿宋_GB2312"/>
          <w:i w:val="0"/>
          <w:iCs w:val="0"/>
          <w:caps w:val="0"/>
          <w:color w:val="000000"/>
          <w:spacing w:val="0"/>
          <w:sz w:val="31"/>
          <w:szCs w:val="31"/>
        </w:rPr>
        <w:t>号）要求，结合我区实际，特制定本实施方案。</w:t>
      </w:r>
    </w:p>
    <w:p w14:paraId="4465C317">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ascii="黑体" w:hAnsi="宋体" w:eastAsia="黑体" w:cs="黑体"/>
          <w:i w:val="0"/>
          <w:iCs w:val="0"/>
          <w:caps w:val="0"/>
          <w:color w:val="000000"/>
          <w:spacing w:val="0"/>
          <w:sz w:val="31"/>
          <w:szCs w:val="31"/>
        </w:rPr>
        <w:t>一、</w:t>
      </w:r>
      <w:r>
        <w:rPr>
          <w:rFonts w:hint="eastAsia" w:ascii="黑体" w:hAnsi="宋体" w:eastAsia="黑体" w:cs="黑体"/>
          <w:i w:val="0"/>
          <w:iCs w:val="0"/>
          <w:caps w:val="0"/>
          <w:color w:val="000000"/>
          <w:spacing w:val="0"/>
          <w:sz w:val="31"/>
          <w:szCs w:val="31"/>
        </w:rPr>
        <w:t>总体要求</w:t>
      </w:r>
    </w:p>
    <w:p w14:paraId="17D0C53E">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以习近平新时代中国特色社会主义思想为指导，深入贯彻党的十九大和十九届二中、三中、四中、五中、六中全会精神，坚持县乡抓落实的工作机制，坚持精准方略，在巩固拓展脱贫攻坚成果同乡村振兴有效衔接框架下，按照现有资产管理制度及农村集体产权制度改革等要求，建立健全扶贫项目资产的长效运行管理机制，确保扶贫项目资产稳定良性运转，经营性资产不流失或不被侵占，公益性资产持续发挥作用，为巩固拓展脱贫攻坚成果、全面实现乡村振兴提供更好保障。</w:t>
      </w:r>
    </w:p>
    <w:p w14:paraId="56348ECF">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（一）指导思想</w:t>
      </w:r>
    </w:p>
    <w:p w14:paraId="56AD7310">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以习近平总书记关于推进农村</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厕所革命</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工作重要讲话及一系列重要指示精神为指导，全面贯彻落实国家、自治区和包头市关于户厕改造的决策要求，按照区委、区政府安排部署，有序推进我区农村牧区厕改工作。有较好基础、基本具备条件的地区，农村牧区户用厕所愿改尽改，厕所粪污基本得到有效处理、资源化利用水平进一步提高，长效管护机制同步建立。地处偏远、干旱寒冷、经济欠发达地区，农村卫生厕所普及率稳步提高，厕所粪污处理和资源化利用能力不断提升，长效管护机制逐步建立。</w:t>
      </w:r>
    </w:p>
    <w:p w14:paraId="2265530C">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（二）基本原则</w:t>
      </w:r>
    </w:p>
    <w:p w14:paraId="1831219A">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1.</w:t>
      </w:r>
      <w:r>
        <w:rPr>
          <w:rFonts w:hint="eastAsia" w:ascii="仿宋_GB2312" w:hAnsi="Times New Roman" w:eastAsia="仿宋_GB2312" w:cs="仿宋_GB2312"/>
          <w:i w:val="0"/>
          <w:iCs w:val="0"/>
          <w:caps w:val="0"/>
          <w:color w:val="000000"/>
          <w:spacing w:val="0"/>
          <w:sz w:val="31"/>
          <w:szCs w:val="31"/>
        </w:rPr>
        <w:t>政府引导，协同推进。建立政府统一部署、公共财政扶持、专业服务相结合的推进机制，发挥政府标准制定、政策鼓励、示范引导等作用，不搞大包大揽、强迫命令。实行区、苏木镇涉农街道、嘎查村、户四级联动，分级负责。要充分调动群众改厕的积极性，尊重农牧民的参与权和监督权，引导群众自觉参与，投工投料，把农牧民认同、农牧民参与、农牧民满意作为推进农村牧区改厕的根本要求，贯穿改厕工作始终。</w:t>
      </w:r>
    </w:p>
    <w:p w14:paraId="72EB460D">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w:t>
      </w:r>
      <w:r>
        <w:rPr>
          <w:rFonts w:hint="eastAsia" w:ascii="仿宋_GB2312" w:hAnsi="Times New Roman" w:eastAsia="仿宋_GB2312" w:cs="仿宋_GB2312"/>
          <w:i w:val="0"/>
          <w:iCs w:val="0"/>
          <w:caps w:val="0"/>
          <w:color w:val="000000"/>
          <w:spacing w:val="0"/>
          <w:sz w:val="31"/>
          <w:szCs w:val="31"/>
        </w:rPr>
        <w:t>因地制宜，分类实施。各地区应综合考虑发展水平、自然条件，科学选择</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厕所革命</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方式方法，制订户厕改造方案，合理确定目标任务、政策措施、技术模式，宜水则水、宜旱则旱，宜改则改、宜建则建，尽力而为，量力而行。鼓励和支持整村推进，统筹解决农村厕所粪污和农村生活污水治理问题，改善人居环境。不搞</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一刀切</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、层层加码，杜绝形象工程。建设一批农村户厕改造示范乡镇、示范村、示范户，发挥示范引领作用。</w:t>
      </w:r>
    </w:p>
    <w:p w14:paraId="07148645">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3.</w:t>
      </w:r>
      <w:r>
        <w:rPr>
          <w:rFonts w:hint="eastAsia" w:ascii="仿宋_GB2312" w:hAnsi="Times New Roman" w:eastAsia="仿宋_GB2312" w:cs="仿宋_GB2312"/>
          <w:i w:val="0"/>
          <w:iCs w:val="0"/>
          <w:caps w:val="0"/>
          <w:color w:val="000000"/>
          <w:spacing w:val="0"/>
          <w:sz w:val="31"/>
          <w:szCs w:val="31"/>
        </w:rPr>
        <w:t>规划先行，试点引领。坚持规划先行，系统规划、科学规划、先规划、后建设。结合村庄规划、城镇建设规划和农牧民搬迁规划，科学制定改厕规划。结合当地自然禀赋和农牧民群众需求，统筹推进农村牧区改厕、生活污水治理、村容村貌整治提升。坚持新技术模式先开展试点示范，待稳定成熟后再推广。建立示范村、示范户，发挥典范引领作用。</w:t>
      </w:r>
    </w:p>
    <w:p w14:paraId="053E093F">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4.</w:t>
      </w:r>
      <w:r>
        <w:rPr>
          <w:rFonts w:hint="eastAsia" w:ascii="仿宋_GB2312" w:hAnsi="Times New Roman" w:eastAsia="仿宋_GB2312" w:cs="仿宋_GB2312"/>
          <w:i w:val="0"/>
          <w:iCs w:val="0"/>
          <w:caps w:val="0"/>
          <w:color w:val="000000"/>
          <w:spacing w:val="0"/>
          <w:sz w:val="31"/>
          <w:szCs w:val="31"/>
        </w:rPr>
        <w:t>建管并重，可持续发展。按照数量服从质量、进度服从实效，建一个、成一个的要求，明确总体任务与阶段性任务，落实责任，细化措施，稳步实施，不贪功冒进、不急于求成。坚持建管用并重，要把建立长效管护机制摆在突出位置，贯穿改厕工作全过程，确保农村改厕日常管理落实到位，设施维修养护及时到位，实现绿色、环保、低碳、可持续发展，确保农村牧区改厕成效经得起历史和实践的检验。</w:t>
      </w:r>
    </w:p>
    <w:p w14:paraId="17C9C460">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（三）工作目标</w:t>
      </w:r>
    </w:p>
    <w:p w14:paraId="3C157E52">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按照国家</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农村卫生厕所普及率进一步提高，厕所粪污有效处理和资源利用水平显著提高，长效管护机制不断建立健全，农民群众普遍养成良好卫生习惯和健康生活方式</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的目标要求，按照户厕改造申报程序，</w:t>
      </w:r>
      <w:r>
        <w:rPr>
          <w:rFonts w:hint="default" w:ascii="Times New Roman" w:hAnsi="Times New Roman" w:eastAsia="sans-serif" w:cs="Times New Roman"/>
          <w:i w:val="0"/>
          <w:iCs w:val="0"/>
          <w:caps w:val="0"/>
          <w:color w:val="000000"/>
          <w:spacing w:val="0"/>
          <w:sz w:val="31"/>
          <w:szCs w:val="31"/>
        </w:rPr>
        <w:t>2022</w:t>
      </w:r>
      <w:r>
        <w:rPr>
          <w:rFonts w:hint="eastAsia" w:ascii="仿宋_GB2312" w:hAnsi="Times New Roman" w:eastAsia="仿宋_GB2312" w:cs="仿宋_GB2312"/>
          <w:i w:val="0"/>
          <w:iCs w:val="0"/>
          <w:caps w:val="0"/>
          <w:color w:val="000000"/>
          <w:spacing w:val="0"/>
          <w:sz w:val="31"/>
          <w:szCs w:val="31"/>
        </w:rPr>
        <w:t>年底各涉农地区报送</w:t>
      </w: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年户厕改造计划。我区计划</w:t>
      </w: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年改造农村牧区户厕数量</w:t>
      </w:r>
      <w:r>
        <w:rPr>
          <w:rFonts w:hint="default" w:ascii="Times New Roman" w:hAnsi="Times New Roman" w:eastAsia="sans-serif" w:cs="Times New Roman"/>
          <w:i w:val="0"/>
          <w:iCs w:val="0"/>
          <w:caps w:val="0"/>
          <w:color w:val="000000"/>
          <w:spacing w:val="0"/>
          <w:sz w:val="31"/>
          <w:szCs w:val="31"/>
        </w:rPr>
        <w:t>85</w:t>
      </w:r>
      <w:r>
        <w:rPr>
          <w:rFonts w:hint="eastAsia" w:ascii="仿宋_GB2312" w:hAnsi="Times New Roman" w:eastAsia="仿宋_GB2312" w:cs="仿宋_GB2312"/>
          <w:i w:val="0"/>
          <w:iCs w:val="0"/>
          <w:caps w:val="0"/>
          <w:color w:val="000000"/>
          <w:spacing w:val="0"/>
          <w:sz w:val="31"/>
          <w:szCs w:val="31"/>
        </w:rPr>
        <w:t>个，其中：吉忽伦图苏木</w:t>
      </w:r>
      <w:r>
        <w:rPr>
          <w:rFonts w:hint="default" w:ascii="Times New Roman" w:hAnsi="Times New Roman" w:eastAsia="sans-serif" w:cs="Times New Roman"/>
          <w:i w:val="0"/>
          <w:iCs w:val="0"/>
          <w:caps w:val="0"/>
          <w:color w:val="000000"/>
          <w:spacing w:val="0"/>
          <w:sz w:val="31"/>
          <w:szCs w:val="31"/>
        </w:rPr>
        <w:t>30</w:t>
      </w:r>
      <w:r>
        <w:rPr>
          <w:rFonts w:hint="eastAsia" w:ascii="仿宋_GB2312" w:hAnsi="Times New Roman" w:eastAsia="仿宋_GB2312" w:cs="仿宋_GB2312"/>
          <w:i w:val="0"/>
          <w:iCs w:val="0"/>
          <w:caps w:val="0"/>
          <w:color w:val="000000"/>
          <w:spacing w:val="0"/>
          <w:sz w:val="31"/>
          <w:szCs w:val="31"/>
        </w:rPr>
        <w:t>个，五当召镇</w:t>
      </w:r>
      <w:r>
        <w:rPr>
          <w:rFonts w:hint="default" w:ascii="Times New Roman" w:hAnsi="Times New Roman" w:eastAsia="sans-serif" w:cs="Times New Roman"/>
          <w:i w:val="0"/>
          <w:iCs w:val="0"/>
          <w:caps w:val="0"/>
          <w:color w:val="000000"/>
          <w:spacing w:val="0"/>
          <w:sz w:val="31"/>
          <w:szCs w:val="31"/>
        </w:rPr>
        <w:t>50</w:t>
      </w:r>
      <w:r>
        <w:rPr>
          <w:rFonts w:hint="eastAsia" w:ascii="仿宋_GB2312" w:hAnsi="Times New Roman" w:eastAsia="仿宋_GB2312" w:cs="仿宋_GB2312"/>
          <w:i w:val="0"/>
          <w:iCs w:val="0"/>
          <w:caps w:val="0"/>
          <w:color w:val="000000"/>
          <w:spacing w:val="0"/>
          <w:sz w:val="31"/>
          <w:szCs w:val="31"/>
        </w:rPr>
        <w:t>个，白狐沟街道</w:t>
      </w:r>
      <w:r>
        <w:rPr>
          <w:rFonts w:hint="default" w:ascii="Times New Roman" w:hAnsi="Times New Roman" w:eastAsia="sans-serif" w:cs="Times New Roman"/>
          <w:i w:val="0"/>
          <w:iCs w:val="0"/>
          <w:caps w:val="0"/>
          <w:color w:val="000000"/>
          <w:spacing w:val="0"/>
          <w:sz w:val="31"/>
          <w:szCs w:val="31"/>
        </w:rPr>
        <w:t>0</w:t>
      </w:r>
      <w:r>
        <w:rPr>
          <w:rFonts w:hint="eastAsia" w:ascii="仿宋_GB2312" w:hAnsi="Times New Roman" w:eastAsia="仿宋_GB2312" w:cs="仿宋_GB2312"/>
          <w:i w:val="0"/>
          <w:iCs w:val="0"/>
          <w:caps w:val="0"/>
          <w:color w:val="000000"/>
          <w:spacing w:val="0"/>
          <w:sz w:val="31"/>
          <w:szCs w:val="31"/>
        </w:rPr>
        <w:t>个，大德恒街道</w:t>
      </w:r>
      <w:r>
        <w:rPr>
          <w:rFonts w:hint="default" w:ascii="Times New Roman" w:hAnsi="Times New Roman" w:eastAsia="sans-serif" w:cs="Times New Roman"/>
          <w:i w:val="0"/>
          <w:iCs w:val="0"/>
          <w:caps w:val="0"/>
          <w:color w:val="000000"/>
          <w:spacing w:val="0"/>
          <w:sz w:val="31"/>
          <w:szCs w:val="31"/>
        </w:rPr>
        <w:t>5</w:t>
      </w:r>
      <w:r>
        <w:rPr>
          <w:rFonts w:hint="eastAsia" w:ascii="仿宋_GB2312" w:hAnsi="Times New Roman" w:eastAsia="仿宋_GB2312" w:cs="仿宋_GB2312"/>
          <w:i w:val="0"/>
          <w:iCs w:val="0"/>
          <w:caps w:val="0"/>
          <w:color w:val="000000"/>
          <w:spacing w:val="0"/>
          <w:sz w:val="31"/>
          <w:szCs w:val="31"/>
        </w:rPr>
        <w:t>个。按照户厕改造模式分为分散式污水处理系统</w:t>
      </w:r>
      <w:r>
        <w:rPr>
          <w:rFonts w:hint="default" w:ascii="Times New Roman" w:hAnsi="Times New Roman" w:eastAsia="sans-serif" w:cs="Times New Roman"/>
          <w:i w:val="0"/>
          <w:iCs w:val="0"/>
          <w:caps w:val="0"/>
          <w:color w:val="000000"/>
          <w:spacing w:val="0"/>
          <w:sz w:val="31"/>
          <w:szCs w:val="31"/>
        </w:rPr>
        <w:t>80</w:t>
      </w:r>
      <w:r>
        <w:rPr>
          <w:rFonts w:hint="eastAsia" w:ascii="仿宋_GB2312" w:hAnsi="Times New Roman" w:eastAsia="仿宋_GB2312" w:cs="仿宋_GB2312"/>
          <w:i w:val="0"/>
          <w:iCs w:val="0"/>
          <w:caps w:val="0"/>
          <w:color w:val="000000"/>
          <w:spacing w:val="0"/>
          <w:sz w:val="31"/>
          <w:szCs w:val="31"/>
        </w:rPr>
        <w:t>个，其中吉忽伦图苏木</w:t>
      </w:r>
      <w:r>
        <w:rPr>
          <w:rFonts w:hint="default" w:ascii="Times New Roman" w:hAnsi="Times New Roman" w:eastAsia="sans-serif" w:cs="Times New Roman"/>
          <w:i w:val="0"/>
          <w:iCs w:val="0"/>
          <w:caps w:val="0"/>
          <w:color w:val="000000"/>
          <w:spacing w:val="0"/>
          <w:sz w:val="31"/>
          <w:szCs w:val="31"/>
        </w:rPr>
        <w:t>30</w:t>
      </w:r>
      <w:r>
        <w:rPr>
          <w:rFonts w:hint="eastAsia" w:ascii="仿宋_GB2312" w:hAnsi="Times New Roman" w:eastAsia="仿宋_GB2312" w:cs="仿宋_GB2312"/>
          <w:i w:val="0"/>
          <w:iCs w:val="0"/>
          <w:caps w:val="0"/>
          <w:color w:val="000000"/>
          <w:spacing w:val="0"/>
          <w:sz w:val="31"/>
          <w:szCs w:val="31"/>
        </w:rPr>
        <w:t>个，五当召镇</w:t>
      </w:r>
      <w:r>
        <w:rPr>
          <w:rFonts w:hint="default" w:ascii="Times New Roman" w:hAnsi="Times New Roman" w:eastAsia="sans-serif" w:cs="Times New Roman"/>
          <w:i w:val="0"/>
          <w:iCs w:val="0"/>
          <w:caps w:val="0"/>
          <w:color w:val="000000"/>
          <w:spacing w:val="0"/>
          <w:sz w:val="31"/>
          <w:szCs w:val="31"/>
        </w:rPr>
        <w:t>50</w:t>
      </w:r>
      <w:r>
        <w:rPr>
          <w:rFonts w:hint="eastAsia" w:ascii="仿宋_GB2312" w:hAnsi="Times New Roman" w:eastAsia="仿宋_GB2312" w:cs="仿宋_GB2312"/>
          <w:i w:val="0"/>
          <w:iCs w:val="0"/>
          <w:caps w:val="0"/>
          <w:color w:val="000000"/>
          <w:spacing w:val="0"/>
          <w:sz w:val="31"/>
          <w:szCs w:val="31"/>
        </w:rPr>
        <w:t>个；微生物原位降解</w:t>
      </w:r>
      <w:r>
        <w:rPr>
          <w:rFonts w:hint="default" w:ascii="Times New Roman" w:hAnsi="Times New Roman" w:eastAsia="sans-serif" w:cs="Times New Roman"/>
          <w:i w:val="0"/>
          <w:iCs w:val="0"/>
          <w:caps w:val="0"/>
          <w:color w:val="000000"/>
          <w:spacing w:val="0"/>
          <w:sz w:val="31"/>
          <w:szCs w:val="31"/>
        </w:rPr>
        <w:t>5</w:t>
      </w:r>
      <w:r>
        <w:rPr>
          <w:rFonts w:hint="eastAsia" w:ascii="仿宋_GB2312" w:hAnsi="Times New Roman" w:eastAsia="仿宋_GB2312" w:cs="仿宋_GB2312"/>
          <w:i w:val="0"/>
          <w:iCs w:val="0"/>
          <w:caps w:val="0"/>
          <w:color w:val="000000"/>
          <w:spacing w:val="0"/>
          <w:sz w:val="31"/>
          <w:szCs w:val="31"/>
        </w:rPr>
        <w:t>个，其中大德恒街道</w:t>
      </w:r>
      <w:r>
        <w:rPr>
          <w:rFonts w:hint="default" w:ascii="Times New Roman" w:hAnsi="Times New Roman" w:eastAsia="sans-serif" w:cs="Times New Roman"/>
          <w:i w:val="0"/>
          <w:iCs w:val="0"/>
          <w:caps w:val="0"/>
          <w:color w:val="000000"/>
          <w:spacing w:val="0"/>
          <w:sz w:val="31"/>
          <w:szCs w:val="31"/>
        </w:rPr>
        <w:t>5</w:t>
      </w:r>
      <w:r>
        <w:rPr>
          <w:rFonts w:hint="eastAsia" w:ascii="仿宋_GB2312" w:hAnsi="Times New Roman" w:eastAsia="仿宋_GB2312" w:cs="仿宋_GB2312"/>
          <w:i w:val="0"/>
          <w:iCs w:val="0"/>
          <w:caps w:val="0"/>
          <w:color w:val="000000"/>
          <w:spacing w:val="0"/>
          <w:sz w:val="31"/>
          <w:szCs w:val="31"/>
        </w:rPr>
        <w:t>个。</w:t>
      </w:r>
    </w:p>
    <w:p w14:paraId="55170CA5">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（四）户厕改造资金来源</w:t>
      </w:r>
    </w:p>
    <w:p w14:paraId="0637FCF2">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按照《内蒙古自治区财政厅</w:t>
      </w:r>
      <w:r>
        <w:rPr>
          <w:rFonts w:hint="default" w:ascii="Times New Roman" w:hAnsi="Times New Roman" w:eastAsia="sans-serif" w:cs="Times New Roman"/>
          <w:i w:val="0"/>
          <w:iCs w:val="0"/>
          <w:caps w:val="0"/>
          <w:color w:val="000000"/>
          <w:spacing w:val="0"/>
          <w:sz w:val="31"/>
          <w:szCs w:val="31"/>
        </w:rPr>
        <w:t> </w:t>
      </w:r>
      <w:r>
        <w:rPr>
          <w:rFonts w:hint="eastAsia" w:ascii="仿宋_GB2312" w:hAnsi="Times New Roman" w:eastAsia="仿宋_GB2312" w:cs="仿宋_GB2312"/>
          <w:i w:val="0"/>
          <w:iCs w:val="0"/>
          <w:caps w:val="0"/>
          <w:color w:val="000000"/>
          <w:spacing w:val="0"/>
          <w:sz w:val="31"/>
          <w:szCs w:val="31"/>
        </w:rPr>
        <w:t>自治区乡村振兴局关于开展农村牧区</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厕所革命</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财政奖补工作的通知》、《包头市财政局关于下达</w:t>
      </w:r>
      <w:r>
        <w:rPr>
          <w:rFonts w:hint="default" w:ascii="Times New Roman" w:hAnsi="Times New Roman" w:eastAsia="sans-serif" w:cs="Times New Roman"/>
          <w:i w:val="0"/>
          <w:iCs w:val="0"/>
          <w:caps w:val="0"/>
          <w:color w:val="000000"/>
          <w:spacing w:val="0"/>
          <w:sz w:val="31"/>
          <w:szCs w:val="31"/>
        </w:rPr>
        <w:t>2021</w:t>
      </w:r>
      <w:r>
        <w:rPr>
          <w:rFonts w:hint="eastAsia" w:ascii="仿宋_GB2312" w:hAnsi="Times New Roman" w:eastAsia="仿宋_GB2312" w:cs="仿宋_GB2312"/>
          <w:i w:val="0"/>
          <w:iCs w:val="0"/>
          <w:caps w:val="0"/>
          <w:color w:val="000000"/>
          <w:spacing w:val="0"/>
          <w:sz w:val="31"/>
          <w:szCs w:val="31"/>
        </w:rPr>
        <w:t>年市本级第一批财政衔接推进乡村振兴补助资金预算的通知》、《包头市财政局关于提前下达</w:t>
      </w: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年农村牧区厕所革命财政奖补资金的通知》等文件要求，户厕改造资金采用政府补助和农户自筹相结合的方式筹集，原则上自治区对旱厕每户补助</w:t>
      </w:r>
      <w:r>
        <w:rPr>
          <w:rFonts w:hint="default" w:ascii="Times New Roman" w:hAnsi="Times New Roman" w:eastAsia="sans-serif" w:cs="Times New Roman"/>
          <w:i w:val="0"/>
          <w:iCs w:val="0"/>
          <w:caps w:val="0"/>
          <w:color w:val="000000"/>
          <w:spacing w:val="0"/>
          <w:sz w:val="31"/>
          <w:szCs w:val="31"/>
        </w:rPr>
        <w:t>2000</w:t>
      </w:r>
      <w:r>
        <w:rPr>
          <w:rFonts w:hint="eastAsia" w:ascii="仿宋_GB2312" w:hAnsi="Times New Roman" w:eastAsia="仿宋_GB2312" w:cs="仿宋_GB2312"/>
          <w:i w:val="0"/>
          <w:iCs w:val="0"/>
          <w:caps w:val="0"/>
          <w:color w:val="000000"/>
          <w:spacing w:val="0"/>
          <w:sz w:val="31"/>
          <w:szCs w:val="31"/>
        </w:rPr>
        <w:t>元，对水厕每户补助</w:t>
      </w:r>
      <w:r>
        <w:rPr>
          <w:rFonts w:hint="default" w:ascii="Times New Roman" w:hAnsi="Times New Roman" w:eastAsia="sans-serif" w:cs="Times New Roman"/>
          <w:i w:val="0"/>
          <w:iCs w:val="0"/>
          <w:caps w:val="0"/>
          <w:color w:val="000000"/>
          <w:spacing w:val="0"/>
          <w:sz w:val="31"/>
          <w:szCs w:val="31"/>
        </w:rPr>
        <w:t>3300</w:t>
      </w:r>
      <w:r>
        <w:rPr>
          <w:rFonts w:hint="eastAsia" w:ascii="仿宋_GB2312" w:hAnsi="Times New Roman" w:eastAsia="仿宋_GB2312" w:cs="仿宋_GB2312"/>
          <w:i w:val="0"/>
          <w:iCs w:val="0"/>
          <w:caps w:val="0"/>
          <w:color w:val="000000"/>
          <w:spacing w:val="0"/>
          <w:sz w:val="31"/>
          <w:szCs w:val="31"/>
        </w:rPr>
        <w:t>元；包头市对旱厕每户补助</w:t>
      </w:r>
      <w:r>
        <w:rPr>
          <w:rFonts w:hint="default" w:ascii="Times New Roman" w:hAnsi="Times New Roman" w:eastAsia="sans-serif" w:cs="Times New Roman"/>
          <w:i w:val="0"/>
          <w:iCs w:val="0"/>
          <w:caps w:val="0"/>
          <w:color w:val="000000"/>
          <w:spacing w:val="0"/>
          <w:sz w:val="31"/>
          <w:szCs w:val="31"/>
        </w:rPr>
        <w:t>1000</w:t>
      </w:r>
      <w:r>
        <w:rPr>
          <w:rFonts w:hint="eastAsia" w:ascii="仿宋_GB2312" w:hAnsi="Times New Roman" w:eastAsia="仿宋_GB2312" w:cs="仿宋_GB2312"/>
          <w:i w:val="0"/>
          <w:iCs w:val="0"/>
          <w:caps w:val="0"/>
          <w:color w:val="000000"/>
          <w:spacing w:val="0"/>
          <w:sz w:val="31"/>
          <w:szCs w:val="31"/>
        </w:rPr>
        <w:t>元，对水厕每户补助</w:t>
      </w:r>
      <w:r>
        <w:rPr>
          <w:rFonts w:hint="default" w:ascii="Times New Roman" w:hAnsi="Times New Roman" w:eastAsia="sans-serif" w:cs="Times New Roman"/>
          <w:i w:val="0"/>
          <w:iCs w:val="0"/>
          <w:caps w:val="0"/>
          <w:color w:val="000000"/>
          <w:spacing w:val="0"/>
          <w:sz w:val="31"/>
          <w:szCs w:val="31"/>
        </w:rPr>
        <w:t>1000</w:t>
      </w:r>
      <w:r>
        <w:rPr>
          <w:rFonts w:hint="eastAsia" w:ascii="仿宋_GB2312" w:hAnsi="Times New Roman" w:eastAsia="仿宋_GB2312" w:cs="仿宋_GB2312"/>
          <w:i w:val="0"/>
          <w:iCs w:val="0"/>
          <w:caps w:val="0"/>
          <w:color w:val="000000"/>
          <w:spacing w:val="0"/>
          <w:sz w:val="31"/>
          <w:szCs w:val="31"/>
        </w:rPr>
        <w:t>元。按户测算平均单价标准为：水厕每户</w:t>
      </w:r>
      <w:r>
        <w:rPr>
          <w:rFonts w:hint="default" w:ascii="Times New Roman" w:hAnsi="Times New Roman" w:eastAsia="sans-serif" w:cs="Times New Roman"/>
          <w:i w:val="0"/>
          <w:iCs w:val="0"/>
          <w:caps w:val="0"/>
          <w:color w:val="000000"/>
          <w:spacing w:val="0"/>
          <w:sz w:val="31"/>
          <w:szCs w:val="31"/>
        </w:rPr>
        <w:t>6000</w:t>
      </w:r>
      <w:r>
        <w:rPr>
          <w:rFonts w:hint="eastAsia" w:ascii="仿宋_GB2312" w:hAnsi="Times New Roman" w:eastAsia="仿宋_GB2312" w:cs="仿宋_GB2312"/>
          <w:i w:val="0"/>
          <w:iCs w:val="0"/>
          <w:caps w:val="0"/>
          <w:color w:val="000000"/>
          <w:spacing w:val="0"/>
          <w:sz w:val="31"/>
          <w:szCs w:val="31"/>
        </w:rPr>
        <w:t>元，旱厕每户</w:t>
      </w:r>
      <w:r>
        <w:rPr>
          <w:rFonts w:hint="default" w:ascii="Times New Roman" w:hAnsi="Times New Roman" w:eastAsia="sans-serif" w:cs="Times New Roman"/>
          <w:i w:val="0"/>
          <w:iCs w:val="0"/>
          <w:caps w:val="0"/>
          <w:color w:val="000000"/>
          <w:spacing w:val="0"/>
          <w:sz w:val="31"/>
          <w:szCs w:val="31"/>
        </w:rPr>
        <w:t>6100</w:t>
      </w:r>
      <w:r>
        <w:rPr>
          <w:rFonts w:hint="eastAsia" w:ascii="仿宋_GB2312" w:hAnsi="Times New Roman" w:eastAsia="仿宋_GB2312" w:cs="仿宋_GB2312"/>
          <w:i w:val="0"/>
          <w:iCs w:val="0"/>
          <w:caps w:val="0"/>
          <w:color w:val="000000"/>
          <w:spacing w:val="0"/>
          <w:sz w:val="31"/>
          <w:szCs w:val="31"/>
        </w:rPr>
        <w:t>元，根据</w:t>
      </w: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年户厕任务</w:t>
      </w:r>
      <w:r>
        <w:rPr>
          <w:rFonts w:hint="default" w:ascii="Times New Roman" w:hAnsi="Times New Roman" w:eastAsia="sans-serif" w:cs="Times New Roman"/>
          <w:i w:val="0"/>
          <w:iCs w:val="0"/>
          <w:caps w:val="0"/>
          <w:color w:val="000000"/>
          <w:spacing w:val="0"/>
          <w:sz w:val="31"/>
          <w:szCs w:val="31"/>
        </w:rPr>
        <w:t>85</w:t>
      </w:r>
      <w:r>
        <w:rPr>
          <w:rFonts w:hint="eastAsia" w:ascii="仿宋_GB2312" w:hAnsi="Times New Roman" w:eastAsia="仿宋_GB2312" w:cs="仿宋_GB2312"/>
          <w:i w:val="0"/>
          <w:iCs w:val="0"/>
          <w:caps w:val="0"/>
          <w:color w:val="000000"/>
          <w:spacing w:val="0"/>
          <w:sz w:val="31"/>
          <w:szCs w:val="31"/>
        </w:rPr>
        <w:t>户（水厕</w:t>
      </w:r>
      <w:r>
        <w:rPr>
          <w:rFonts w:hint="default" w:ascii="Times New Roman" w:hAnsi="Times New Roman" w:eastAsia="sans-serif" w:cs="Times New Roman"/>
          <w:i w:val="0"/>
          <w:iCs w:val="0"/>
          <w:caps w:val="0"/>
          <w:color w:val="000000"/>
          <w:spacing w:val="0"/>
          <w:sz w:val="31"/>
          <w:szCs w:val="31"/>
        </w:rPr>
        <w:t>80</w:t>
      </w:r>
      <w:r>
        <w:rPr>
          <w:rFonts w:hint="eastAsia" w:ascii="仿宋_GB2312" w:hAnsi="Times New Roman" w:eastAsia="仿宋_GB2312" w:cs="仿宋_GB2312"/>
          <w:i w:val="0"/>
          <w:iCs w:val="0"/>
          <w:caps w:val="0"/>
          <w:color w:val="000000"/>
          <w:spacing w:val="0"/>
          <w:sz w:val="31"/>
          <w:szCs w:val="31"/>
        </w:rPr>
        <w:t>户、旱厕</w:t>
      </w:r>
      <w:r>
        <w:rPr>
          <w:rFonts w:hint="default" w:ascii="Times New Roman" w:hAnsi="Times New Roman" w:eastAsia="sans-serif" w:cs="Times New Roman"/>
          <w:i w:val="0"/>
          <w:iCs w:val="0"/>
          <w:caps w:val="0"/>
          <w:color w:val="000000"/>
          <w:spacing w:val="0"/>
          <w:sz w:val="31"/>
          <w:szCs w:val="31"/>
        </w:rPr>
        <w:t>5</w:t>
      </w:r>
      <w:r>
        <w:rPr>
          <w:rFonts w:hint="eastAsia" w:ascii="仿宋_GB2312" w:hAnsi="Times New Roman" w:eastAsia="仿宋_GB2312" w:cs="仿宋_GB2312"/>
          <w:i w:val="0"/>
          <w:iCs w:val="0"/>
          <w:caps w:val="0"/>
          <w:color w:val="000000"/>
          <w:spacing w:val="0"/>
          <w:sz w:val="31"/>
          <w:szCs w:val="31"/>
        </w:rPr>
        <w:t>户），自治区匹配资金</w:t>
      </w:r>
      <w:r>
        <w:rPr>
          <w:rFonts w:hint="default" w:ascii="Times New Roman" w:hAnsi="Times New Roman" w:eastAsia="sans-serif" w:cs="Times New Roman"/>
          <w:i w:val="0"/>
          <w:iCs w:val="0"/>
          <w:caps w:val="0"/>
          <w:color w:val="000000"/>
          <w:spacing w:val="0"/>
          <w:sz w:val="31"/>
          <w:szCs w:val="31"/>
        </w:rPr>
        <w:t>27.4</w:t>
      </w:r>
      <w:r>
        <w:rPr>
          <w:rFonts w:hint="eastAsia" w:ascii="仿宋_GB2312" w:hAnsi="Times New Roman" w:eastAsia="仿宋_GB2312" w:cs="仿宋_GB2312"/>
          <w:i w:val="0"/>
          <w:iCs w:val="0"/>
          <w:caps w:val="0"/>
          <w:color w:val="000000"/>
          <w:spacing w:val="0"/>
          <w:sz w:val="31"/>
          <w:szCs w:val="31"/>
        </w:rPr>
        <w:t>万元，市级匹配</w:t>
      </w:r>
      <w:r>
        <w:rPr>
          <w:rFonts w:hint="default" w:ascii="Times New Roman" w:hAnsi="Times New Roman" w:eastAsia="sans-serif" w:cs="Times New Roman"/>
          <w:i w:val="0"/>
          <w:iCs w:val="0"/>
          <w:caps w:val="0"/>
          <w:color w:val="000000"/>
          <w:spacing w:val="0"/>
          <w:sz w:val="31"/>
          <w:szCs w:val="31"/>
        </w:rPr>
        <w:t>8.5</w:t>
      </w:r>
      <w:r>
        <w:rPr>
          <w:rFonts w:hint="eastAsia" w:ascii="仿宋_GB2312" w:hAnsi="Times New Roman" w:eastAsia="仿宋_GB2312" w:cs="仿宋_GB2312"/>
          <w:i w:val="0"/>
          <w:iCs w:val="0"/>
          <w:caps w:val="0"/>
          <w:color w:val="000000"/>
          <w:spacing w:val="0"/>
          <w:sz w:val="31"/>
          <w:szCs w:val="31"/>
        </w:rPr>
        <w:t>万元（已于</w:t>
      </w:r>
      <w:r>
        <w:rPr>
          <w:rFonts w:hint="default" w:ascii="Times New Roman" w:hAnsi="Times New Roman" w:eastAsia="sans-serif" w:cs="Times New Roman"/>
          <w:i w:val="0"/>
          <w:iCs w:val="0"/>
          <w:caps w:val="0"/>
          <w:color w:val="000000"/>
          <w:spacing w:val="0"/>
          <w:sz w:val="31"/>
          <w:szCs w:val="31"/>
        </w:rPr>
        <w:t>2021</w:t>
      </w:r>
      <w:r>
        <w:rPr>
          <w:rFonts w:hint="eastAsia" w:ascii="仿宋_GB2312" w:hAnsi="Times New Roman" w:eastAsia="仿宋_GB2312" w:cs="仿宋_GB2312"/>
          <w:i w:val="0"/>
          <w:iCs w:val="0"/>
          <w:caps w:val="0"/>
          <w:color w:val="000000"/>
          <w:spacing w:val="0"/>
          <w:sz w:val="31"/>
          <w:szCs w:val="31"/>
        </w:rPr>
        <w:t>年拨至各地区），区级匹配</w:t>
      </w:r>
      <w:r>
        <w:rPr>
          <w:rFonts w:hint="default" w:ascii="Times New Roman" w:hAnsi="Times New Roman" w:eastAsia="sans-serif" w:cs="Times New Roman"/>
          <w:i w:val="0"/>
          <w:iCs w:val="0"/>
          <w:caps w:val="0"/>
          <w:color w:val="000000"/>
          <w:spacing w:val="0"/>
          <w:sz w:val="31"/>
          <w:szCs w:val="31"/>
        </w:rPr>
        <w:t>14.85</w:t>
      </w:r>
      <w:r>
        <w:rPr>
          <w:rFonts w:hint="eastAsia" w:ascii="仿宋_GB2312" w:hAnsi="Times New Roman" w:eastAsia="仿宋_GB2312" w:cs="仿宋_GB2312"/>
          <w:i w:val="0"/>
          <w:iCs w:val="0"/>
          <w:caps w:val="0"/>
          <w:color w:val="000000"/>
          <w:spacing w:val="0"/>
          <w:sz w:val="31"/>
          <w:szCs w:val="31"/>
        </w:rPr>
        <w:t>万元（此方案提交政府常务会同意后，由财政局进行拨付），自筹资金</w:t>
      </w:r>
      <w:r>
        <w:rPr>
          <w:rFonts w:hint="default" w:ascii="Times New Roman" w:hAnsi="Times New Roman" w:eastAsia="sans-serif" w:cs="Times New Roman"/>
          <w:i w:val="0"/>
          <w:iCs w:val="0"/>
          <w:caps w:val="0"/>
          <w:color w:val="000000"/>
          <w:spacing w:val="0"/>
          <w:sz w:val="31"/>
          <w:szCs w:val="31"/>
        </w:rPr>
        <w:t>0.3</w:t>
      </w:r>
      <w:r>
        <w:rPr>
          <w:rFonts w:hint="eastAsia" w:ascii="仿宋_GB2312" w:hAnsi="Times New Roman" w:eastAsia="仿宋_GB2312" w:cs="仿宋_GB2312"/>
          <w:i w:val="0"/>
          <w:iCs w:val="0"/>
          <w:caps w:val="0"/>
          <w:color w:val="000000"/>
          <w:spacing w:val="0"/>
          <w:sz w:val="31"/>
          <w:szCs w:val="31"/>
        </w:rPr>
        <w:t>万元，各级补贴标准参见下表，资金主要用于农村牧区户用卫生厕所的新建，其中水厕厕屋建设由施工方负责，内部厕具由农户自筹。</w:t>
      </w:r>
    </w:p>
    <w:p w14:paraId="282A8367">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户厕改造奖补资金主要是指国家农村</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厕所革命</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整村推进财政奖资金、自治区财政安排资金、市级财政安排资金和区级匹配资金，由国家财政部资金、自治区、市级和区级预算安排的专项资金解决，按照先预付，后验收清算方式拨付补助资金。</w:t>
      </w:r>
    </w:p>
    <w:tbl>
      <w:tblPr>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2214"/>
        <w:gridCol w:w="1410"/>
        <w:gridCol w:w="910"/>
        <w:gridCol w:w="1436"/>
        <w:gridCol w:w="1412"/>
        <w:gridCol w:w="1906"/>
      </w:tblGrid>
      <w:tr w14:paraId="13C85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585" w:hRule="atLeast"/>
        </w:trPr>
        <w:tc>
          <w:tcPr>
            <w:tcW w:w="9990" w:type="dxa"/>
            <w:gridSpan w:val="6"/>
            <w:tcBorders>
              <w:top w:val="nil"/>
              <w:left w:val="nil"/>
              <w:bottom w:val="nil"/>
              <w:right w:val="nil"/>
            </w:tcBorders>
            <w:shd w:val="clear"/>
            <w:tcMar>
              <w:top w:w="0" w:type="dxa"/>
              <w:left w:w="105" w:type="dxa"/>
              <w:bottom w:w="0" w:type="dxa"/>
              <w:right w:w="105" w:type="dxa"/>
            </w:tcMar>
            <w:vAlign w:val="top"/>
          </w:tcPr>
          <w:p w14:paraId="0CE570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jc w:val="center"/>
            </w:pPr>
            <w:r>
              <w:rPr>
                <w:rFonts w:hint="eastAsia" w:ascii="仿宋_GB2312" w:hAnsi="Times New Roman" w:eastAsia="仿宋_GB2312" w:cs="仿宋_GB2312"/>
                <w:sz w:val="31"/>
                <w:szCs w:val="31"/>
                <w:bdr w:val="none" w:color="auto" w:sz="0" w:space="0"/>
              </w:rPr>
              <w:t>户厕改造各级资金补贴标准</w:t>
            </w:r>
          </w:p>
        </w:tc>
      </w:tr>
      <w:tr w14:paraId="3E0B5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c>
          <w:tcPr>
            <w:tcW w:w="2445" w:type="dxa"/>
            <w:tcBorders>
              <w:top w:val="nil"/>
              <w:left w:val="nil"/>
              <w:bottom w:val="nil"/>
              <w:right w:val="nil"/>
            </w:tcBorders>
            <w:shd w:val="clear"/>
            <w:tcMar>
              <w:top w:w="0" w:type="dxa"/>
              <w:left w:w="105" w:type="dxa"/>
              <w:bottom w:w="0" w:type="dxa"/>
              <w:right w:w="105" w:type="dxa"/>
            </w:tcMar>
            <w:vAlign w:val="top"/>
          </w:tcPr>
          <w:p w14:paraId="00F9D54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560" w:lineRule="exact"/>
              <w:jc w:val="left"/>
            </w:pPr>
          </w:p>
        </w:tc>
        <w:tc>
          <w:tcPr>
            <w:tcW w:w="1455" w:type="dxa"/>
            <w:tcBorders>
              <w:top w:val="nil"/>
              <w:left w:val="nil"/>
              <w:bottom w:val="nil"/>
              <w:right w:val="nil"/>
            </w:tcBorders>
            <w:shd w:val="clear"/>
            <w:tcMar>
              <w:top w:w="0" w:type="dxa"/>
              <w:left w:w="105" w:type="dxa"/>
              <w:bottom w:w="0" w:type="dxa"/>
              <w:right w:w="105" w:type="dxa"/>
            </w:tcMar>
            <w:vAlign w:val="top"/>
          </w:tcPr>
          <w:p w14:paraId="117E98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eastAsia" w:ascii="仿宋_GB2312" w:hAnsi="Times New Roman" w:eastAsia="仿宋_GB2312" w:cs="仿宋_GB2312"/>
                <w:sz w:val="31"/>
                <w:szCs w:val="31"/>
                <w:bdr w:val="none" w:color="auto" w:sz="0" w:space="0"/>
              </w:rPr>
              <w:t>水厕（元）</w:t>
            </w:r>
          </w:p>
        </w:tc>
        <w:tc>
          <w:tcPr>
            <w:tcW w:w="975" w:type="dxa"/>
            <w:tcBorders>
              <w:top w:val="nil"/>
              <w:left w:val="nil"/>
              <w:bottom w:val="nil"/>
              <w:right w:val="nil"/>
            </w:tcBorders>
            <w:shd w:val="clear"/>
            <w:tcMar>
              <w:top w:w="0" w:type="dxa"/>
              <w:left w:w="105" w:type="dxa"/>
              <w:bottom w:w="0" w:type="dxa"/>
              <w:right w:w="105" w:type="dxa"/>
            </w:tcMar>
            <w:vAlign w:val="top"/>
          </w:tcPr>
          <w:p w14:paraId="617572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eastAsia" w:ascii="仿宋_GB2312" w:hAnsi="Times New Roman" w:eastAsia="仿宋_GB2312" w:cs="仿宋_GB2312"/>
                <w:sz w:val="31"/>
                <w:szCs w:val="31"/>
                <w:bdr w:val="none" w:color="auto" w:sz="0" w:space="0"/>
              </w:rPr>
              <w:t>户数</w:t>
            </w:r>
          </w:p>
        </w:tc>
        <w:tc>
          <w:tcPr>
            <w:tcW w:w="1485" w:type="dxa"/>
            <w:tcBorders>
              <w:top w:val="nil"/>
              <w:left w:val="nil"/>
              <w:bottom w:val="nil"/>
              <w:right w:val="nil"/>
            </w:tcBorders>
            <w:shd w:val="clear"/>
            <w:tcMar>
              <w:top w:w="0" w:type="dxa"/>
              <w:left w:w="105" w:type="dxa"/>
              <w:bottom w:w="0" w:type="dxa"/>
              <w:right w:w="105" w:type="dxa"/>
            </w:tcMar>
            <w:vAlign w:val="top"/>
          </w:tcPr>
          <w:p w14:paraId="435C83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eastAsia" w:ascii="仿宋_GB2312" w:hAnsi="Times New Roman" w:eastAsia="仿宋_GB2312" w:cs="仿宋_GB2312"/>
                <w:sz w:val="31"/>
                <w:szCs w:val="31"/>
                <w:bdr w:val="none" w:color="auto" w:sz="0" w:space="0"/>
              </w:rPr>
              <w:t>旱厕（元）</w:t>
            </w:r>
          </w:p>
        </w:tc>
        <w:tc>
          <w:tcPr>
            <w:tcW w:w="1560" w:type="dxa"/>
            <w:tcBorders>
              <w:top w:val="nil"/>
              <w:left w:val="nil"/>
              <w:bottom w:val="nil"/>
              <w:right w:val="nil"/>
            </w:tcBorders>
            <w:shd w:val="clear"/>
            <w:tcMar>
              <w:top w:w="0" w:type="dxa"/>
              <w:left w:w="105" w:type="dxa"/>
              <w:bottom w:w="0" w:type="dxa"/>
              <w:right w:w="105" w:type="dxa"/>
            </w:tcMar>
            <w:vAlign w:val="top"/>
          </w:tcPr>
          <w:p w14:paraId="029B27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eastAsia" w:ascii="仿宋_GB2312" w:hAnsi="Times New Roman" w:eastAsia="仿宋_GB2312" w:cs="仿宋_GB2312"/>
                <w:sz w:val="31"/>
                <w:szCs w:val="31"/>
                <w:bdr w:val="none" w:color="auto" w:sz="0" w:space="0"/>
              </w:rPr>
              <w:t>户数</w:t>
            </w:r>
          </w:p>
        </w:tc>
        <w:tc>
          <w:tcPr>
            <w:tcW w:w="2085" w:type="dxa"/>
            <w:tcBorders>
              <w:top w:val="nil"/>
              <w:left w:val="nil"/>
              <w:bottom w:val="nil"/>
              <w:right w:val="nil"/>
            </w:tcBorders>
            <w:shd w:val="clear"/>
            <w:tcMar>
              <w:top w:w="0" w:type="dxa"/>
              <w:left w:w="105" w:type="dxa"/>
              <w:bottom w:w="0" w:type="dxa"/>
              <w:right w:w="105" w:type="dxa"/>
            </w:tcMar>
            <w:vAlign w:val="top"/>
          </w:tcPr>
          <w:p w14:paraId="4EAD4E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eastAsia" w:ascii="仿宋_GB2312" w:hAnsi="Times New Roman" w:eastAsia="仿宋_GB2312" w:cs="仿宋_GB2312"/>
                <w:sz w:val="31"/>
                <w:szCs w:val="31"/>
                <w:bdr w:val="none" w:color="auto" w:sz="0" w:space="0"/>
              </w:rPr>
              <w:t>总计（万元）</w:t>
            </w:r>
          </w:p>
        </w:tc>
      </w:tr>
      <w:tr w14:paraId="06F5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c>
          <w:tcPr>
            <w:tcW w:w="2445" w:type="dxa"/>
            <w:tcBorders>
              <w:top w:val="nil"/>
              <w:left w:val="nil"/>
              <w:bottom w:val="nil"/>
              <w:right w:val="nil"/>
            </w:tcBorders>
            <w:shd w:val="clear"/>
            <w:tcMar>
              <w:top w:w="0" w:type="dxa"/>
              <w:left w:w="105" w:type="dxa"/>
              <w:bottom w:w="0" w:type="dxa"/>
              <w:right w:w="105" w:type="dxa"/>
            </w:tcMar>
            <w:vAlign w:val="top"/>
          </w:tcPr>
          <w:p w14:paraId="60DD10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eastAsia" w:ascii="仿宋_GB2312" w:hAnsi="Times New Roman" w:eastAsia="仿宋_GB2312" w:cs="仿宋_GB2312"/>
                <w:sz w:val="31"/>
                <w:szCs w:val="31"/>
                <w:bdr w:val="none" w:color="auto" w:sz="0" w:space="0"/>
              </w:rPr>
              <w:t>单价（历年改造）</w:t>
            </w:r>
          </w:p>
        </w:tc>
        <w:tc>
          <w:tcPr>
            <w:tcW w:w="1455" w:type="dxa"/>
            <w:tcBorders>
              <w:top w:val="nil"/>
              <w:left w:val="nil"/>
              <w:bottom w:val="nil"/>
              <w:right w:val="nil"/>
            </w:tcBorders>
            <w:shd w:val="clear"/>
            <w:tcMar>
              <w:top w:w="0" w:type="dxa"/>
              <w:left w:w="105" w:type="dxa"/>
              <w:bottom w:w="0" w:type="dxa"/>
              <w:right w:w="105" w:type="dxa"/>
            </w:tcMar>
            <w:vAlign w:val="top"/>
          </w:tcPr>
          <w:p w14:paraId="5EBCC7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default" w:ascii="Times New Roman" w:hAnsi="Times New Roman" w:cs="Times New Roman"/>
                <w:sz w:val="31"/>
                <w:szCs w:val="31"/>
                <w:bdr w:val="none" w:color="auto" w:sz="0" w:space="0"/>
              </w:rPr>
              <w:t>6000</w:t>
            </w:r>
          </w:p>
        </w:tc>
        <w:tc>
          <w:tcPr>
            <w:tcW w:w="975" w:type="dxa"/>
            <w:tcBorders>
              <w:top w:val="nil"/>
              <w:left w:val="nil"/>
              <w:bottom w:val="nil"/>
              <w:right w:val="nil"/>
            </w:tcBorders>
            <w:shd w:val="clear"/>
            <w:tcMar>
              <w:top w:w="0" w:type="dxa"/>
              <w:left w:w="105" w:type="dxa"/>
              <w:bottom w:w="0" w:type="dxa"/>
              <w:right w:w="105" w:type="dxa"/>
            </w:tcMar>
            <w:vAlign w:val="top"/>
          </w:tcPr>
          <w:p w14:paraId="146112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default" w:ascii="Times New Roman" w:hAnsi="Times New Roman" w:cs="Times New Roman"/>
                <w:sz w:val="31"/>
                <w:szCs w:val="31"/>
                <w:bdr w:val="none" w:color="auto" w:sz="0" w:space="0"/>
              </w:rPr>
              <w:t>80</w:t>
            </w:r>
          </w:p>
        </w:tc>
        <w:tc>
          <w:tcPr>
            <w:tcW w:w="1485" w:type="dxa"/>
            <w:tcBorders>
              <w:top w:val="nil"/>
              <w:left w:val="nil"/>
              <w:bottom w:val="nil"/>
              <w:right w:val="nil"/>
            </w:tcBorders>
            <w:shd w:val="clear"/>
            <w:tcMar>
              <w:top w:w="0" w:type="dxa"/>
              <w:left w:w="105" w:type="dxa"/>
              <w:bottom w:w="0" w:type="dxa"/>
              <w:right w:w="105" w:type="dxa"/>
            </w:tcMar>
            <w:vAlign w:val="top"/>
          </w:tcPr>
          <w:p w14:paraId="3D8790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default" w:ascii="Times New Roman" w:hAnsi="Times New Roman" w:cs="Times New Roman"/>
                <w:sz w:val="31"/>
                <w:szCs w:val="31"/>
                <w:bdr w:val="none" w:color="auto" w:sz="0" w:space="0"/>
              </w:rPr>
              <w:t>6100</w:t>
            </w:r>
          </w:p>
        </w:tc>
        <w:tc>
          <w:tcPr>
            <w:tcW w:w="1560" w:type="dxa"/>
            <w:tcBorders>
              <w:top w:val="nil"/>
              <w:left w:val="nil"/>
              <w:bottom w:val="nil"/>
              <w:right w:val="nil"/>
            </w:tcBorders>
            <w:shd w:val="clear"/>
            <w:tcMar>
              <w:top w:w="0" w:type="dxa"/>
              <w:left w:w="105" w:type="dxa"/>
              <w:bottom w:w="0" w:type="dxa"/>
              <w:right w:w="105" w:type="dxa"/>
            </w:tcMar>
            <w:vAlign w:val="top"/>
          </w:tcPr>
          <w:p w14:paraId="4E2F15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default" w:ascii="Times New Roman" w:hAnsi="Times New Roman" w:cs="Times New Roman"/>
                <w:sz w:val="31"/>
                <w:szCs w:val="31"/>
                <w:bdr w:val="none" w:color="auto" w:sz="0" w:space="0"/>
              </w:rPr>
              <w:t>5</w:t>
            </w:r>
          </w:p>
        </w:tc>
        <w:tc>
          <w:tcPr>
            <w:tcW w:w="2085" w:type="dxa"/>
            <w:tcBorders>
              <w:top w:val="nil"/>
              <w:left w:val="nil"/>
              <w:bottom w:val="nil"/>
              <w:right w:val="nil"/>
            </w:tcBorders>
            <w:shd w:val="clear"/>
            <w:tcMar>
              <w:top w:w="0" w:type="dxa"/>
              <w:left w:w="105" w:type="dxa"/>
              <w:bottom w:w="0" w:type="dxa"/>
              <w:right w:w="105" w:type="dxa"/>
            </w:tcMar>
            <w:vAlign w:val="top"/>
          </w:tcPr>
          <w:p w14:paraId="1A750B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default" w:ascii="Times New Roman" w:hAnsi="Times New Roman" w:cs="Times New Roman"/>
                <w:sz w:val="31"/>
                <w:szCs w:val="31"/>
                <w:bdr w:val="none" w:color="auto" w:sz="0" w:space="0"/>
              </w:rPr>
              <w:t>51.05</w:t>
            </w:r>
          </w:p>
        </w:tc>
      </w:tr>
      <w:tr w14:paraId="0109D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c>
          <w:tcPr>
            <w:tcW w:w="2445" w:type="dxa"/>
            <w:tcBorders>
              <w:top w:val="nil"/>
              <w:left w:val="nil"/>
              <w:bottom w:val="nil"/>
              <w:right w:val="nil"/>
            </w:tcBorders>
            <w:shd w:val="clear"/>
            <w:tcMar>
              <w:top w:w="0" w:type="dxa"/>
              <w:left w:w="105" w:type="dxa"/>
              <w:bottom w:w="0" w:type="dxa"/>
              <w:right w:w="105" w:type="dxa"/>
            </w:tcMar>
            <w:vAlign w:val="top"/>
          </w:tcPr>
          <w:p w14:paraId="1EE6D2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eastAsia" w:ascii="仿宋_GB2312" w:hAnsi="Times New Roman" w:eastAsia="仿宋_GB2312" w:cs="仿宋_GB2312"/>
                <w:sz w:val="31"/>
                <w:szCs w:val="31"/>
                <w:bdr w:val="none" w:color="auto" w:sz="0" w:space="0"/>
              </w:rPr>
              <w:t>自治区补贴</w:t>
            </w:r>
          </w:p>
        </w:tc>
        <w:tc>
          <w:tcPr>
            <w:tcW w:w="1455" w:type="dxa"/>
            <w:tcBorders>
              <w:top w:val="nil"/>
              <w:left w:val="nil"/>
              <w:bottom w:val="nil"/>
              <w:right w:val="nil"/>
            </w:tcBorders>
            <w:shd w:val="clear"/>
            <w:tcMar>
              <w:top w:w="0" w:type="dxa"/>
              <w:left w:w="105" w:type="dxa"/>
              <w:bottom w:w="0" w:type="dxa"/>
              <w:right w:w="105" w:type="dxa"/>
            </w:tcMar>
            <w:vAlign w:val="top"/>
          </w:tcPr>
          <w:p w14:paraId="40F9A5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default" w:ascii="Times New Roman" w:hAnsi="Times New Roman" w:cs="Times New Roman"/>
                <w:sz w:val="31"/>
                <w:szCs w:val="31"/>
                <w:bdr w:val="none" w:color="auto" w:sz="0" w:space="0"/>
              </w:rPr>
              <w:t>3300</w:t>
            </w:r>
          </w:p>
        </w:tc>
        <w:tc>
          <w:tcPr>
            <w:tcW w:w="975" w:type="dxa"/>
            <w:tcBorders>
              <w:top w:val="nil"/>
              <w:left w:val="nil"/>
              <w:bottom w:val="nil"/>
              <w:right w:val="nil"/>
            </w:tcBorders>
            <w:shd w:val="clear"/>
            <w:tcMar>
              <w:top w:w="0" w:type="dxa"/>
              <w:left w:w="105" w:type="dxa"/>
              <w:bottom w:w="0" w:type="dxa"/>
              <w:right w:w="105" w:type="dxa"/>
            </w:tcMar>
            <w:vAlign w:val="top"/>
          </w:tcPr>
          <w:p w14:paraId="62076D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default" w:ascii="Times New Roman" w:hAnsi="Times New Roman" w:cs="Times New Roman"/>
                <w:sz w:val="31"/>
                <w:szCs w:val="31"/>
                <w:bdr w:val="none" w:color="auto" w:sz="0" w:space="0"/>
              </w:rPr>
              <w:t>80</w:t>
            </w:r>
          </w:p>
        </w:tc>
        <w:tc>
          <w:tcPr>
            <w:tcW w:w="1485" w:type="dxa"/>
            <w:tcBorders>
              <w:top w:val="nil"/>
              <w:left w:val="nil"/>
              <w:bottom w:val="nil"/>
              <w:right w:val="nil"/>
            </w:tcBorders>
            <w:shd w:val="clear"/>
            <w:tcMar>
              <w:top w:w="0" w:type="dxa"/>
              <w:left w:w="105" w:type="dxa"/>
              <w:bottom w:w="0" w:type="dxa"/>
              <w:right w:w="105" w:type="dxa"/>
            </w:tcMar>
            <w:vAlign w:val="top"/>
          </w:tcPr>
          <w:p w14:paraId="24D8DF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default" w:ascii="Times New Roman" w:hAnsi="Times New Roman" w:cs="Times New Roman"/>
                <w:sz w:val="31"/>
                <w:szCs w:val="31"/>
                <w:bdr w:val="none" w:color="auto" w:sz="0" w:space="0"/>
              </w:rPr>
              <w:t>2000</w:t>
            </w:r>
          </w:p>
        </w:tc>
        <w:tc>
          <w:tcPr>
            <w:tcW w:w="1560" w:type="dxa"/>
            <w:tcBorders>
              <w:top w:val="nil"/>
              <w:left w:val="nil"/>
              <w:bottom w:val="nil"/>
              <w:right w:val="nil"/>
            </w:tcBorders>
            <w:shd w:val="clear"/>
            <w:tcMar>
              <w:top w:w="0" w:type="dxa"/>
              <w:left w:w="105" w:type="dxa"/>
              <w:bottom w:w="0" w:type="dxa"/>
              <w:right w:w="105" w:type="dxa"/>
            </w:tcMar>
            <w:vAlign w:val="top"/>
          </w:tcPr>
          <w:p w14:paraId="53ED71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default" w:ascii="Times New Roman" w:hAnsi="Times New Roman" w:cs="Times New Roman"/>
                <w:sz w:val="31"/>
                <w:szCs w:val="31"/>
                <w:bdr w:val="none" w:color="auto" w:sz="0" w:space="0"/>
              </w:rPr>
              <w:t>5</w:t>
            </w:r>
          </w:p>
        </w:tc>
        <w:tc>
          <w:tcPr>
            <w:tcW w:w="2085" w:type="dxa"/>
            <w:tcBorders>
              <w:top w:val="nil"/>
              <w:left w:val="nil"/>
              <w:bottom w:val="nil"/>
              <w:right w:val="nil"/>
            </w:tcBorders>
            <w:shd w:val="clear"/>
            <w:tcMar>
              <w:top w:w="0" w:type="dxa"/>
              <w:left w:w="105" w:type="dxa"/>
              <w:bottom w:w="0" w:type="dxa"/>
              <w:right w:w="105" w:type="dxa"/>
            </w:tcMar>
            <w:vAlign w:val="top"/>
          </w:tcPr>
          <w:p w14:paraId="031AB9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default" w:ascii="Times New Roman" w:hAnsi="Times New Roman" w:cs="Times New Roman"/>
                <w:sz w:val="31"/>
                <w:szCs w:val="31"/>
                <w:bdr w:val="none" w:color="auto" w:sz="0" w:space="0"/>
              </w:rPr>
              <w:t>27.4</w:t>
            </w:r>
          </w:p>
        </w:tc>
      </w:tr>
      <w:tr w14:paraId="212A0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c>
          <w:tcPr>
            <w:tcW w:w="2445" w:type="dxa"/>
            <w:tcBorders>
              <w:top w:val="nil"/>
              <w:left w:val="nil"/>
              <w:bottom w:val="nil"/>
              <w:right w:val="nil"/>
            </w:tcBorders>
            <w:shd w:val="clear"/>
            <w:tcMar>
              <w:top w:w="0" w:type="dxa"/>
              <w:left w:w="105" w:type="dxa"/>
              <w:bottom w:w="0" w:type="dxa"/>
              <w:right w:w="105" w:type="dxa"/>
            </w:tcMar>
            <w:vAlign w:val="top"/>
          </w:tcPr>
          <w:p w14:paraId="629C7A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eastAsia" w:ascii="仿宋_GB2312" w:hAnsi="Times New Roman" w:eastAsia="仿宋_GB2312" w:cs="仿宋_GB2312"/>
                <w:sz w:val="31"/>
                <w:szCs w:val="31"/>
                <w:bdr w:val="none" w:color="auto" w:sz="0" w:space="0"/>
              </w:rPr>
              <w:t>市级补贴资金</w:t>
            </w:r>
          </w:p>
        </w:tc>
        <w:tc>
          <w:tcPr>
            <w:tcW w:w="1455" w:type="dxa"/>
            <w:tcBorders>
              <w:top w:val="nil"/>
              <w:left w:val="nil"/>
              <w:bottom w:val="nil"/>
              <w:right w:val="nil"/>
            </w:tcBorders>
            <w:shd w:val="clear"/>
            <w:tcMar>
              <w:top w:w="0" w:type="dxa"/>
              <w:left w:w="105" w:type="dxa"/>
              <w:bottom w:w="0" w:type="dxa"/>
              <w:right w:w="105" w:type="dxa"/>
            </w:tcMar>
            <w:vAlign w:val="top"/>
          </w:tcPr>
          <w:p w14:paraId="0A7A12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default" w:ascii="Times New Roman" w:hAnsi="Times New Roman" w:cs="Times New Roman"/>
                <w:sz w:val="31"/>
                <w:szCs w:val="31"/>
                <w:bdr w:val="none" w:color="auto" w:sz="0" w:space="0"/>
              </w:rPr>
              <w:t>1000</w:t>
            </w:r>
          </w:p>
        </w:tc>
        <w:tc>
          <w:tcPr>
            <w:tcW w:w="975" w:type="dxa"/>
            <w:tcBorders>
              <w:top w:val="nil"/>
              <w:left w:val="nil"/>
              <w:bottom w:val="nil"/>
              <w:right w:val="nil"/>
            </w:tcBorders>
            <w:shd w:val="clear"/>
            <w:tcMar>
              <w:top w:w="0" w:type="dxa"/>
              <w:left w:w="105" w:type="dxa"/>
              <w:bottom w:w="0" w:type="dxa"/>
              <w:right w:w="105" w:type="dxa"/>
            </w:tcMar>
            <w:vAlign w:val="top"/>
          </w:tcPr>
          <w:p w14:paraId="2D2281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default" w:ascii="Times New Roman" w:hAnsi="Times New Roman" w:cs="Times New Roman"/>
                <w:sz w:val="31"/>
                <w:szCs w:val="31"/>
                <w:bdr w:val="none" w:color="auto" w:sz="0" w:space="0"/>
              </w:rPr>
              <w:t>80</w:t>
            </w:r>
          </w:p>
        </w:tc>
        <w:tc>
          <w:tcPr>
            <w:tcW w:w="1485" w:type="dxa"/>
            <w:tcBorders>
              <w:top w:val="nil"/>
              <w:left w:val="nil"/>
              <w:bottom w:val="nil"/>
              <w:right w:val="nil"/>
            </w:tcBorders>
            <w:shd w:val="clear"/>
            <w:tcMar>
              <w:top w:w="0" w:type="dxa"/>
              <w:left w:w="105" w:type="dxa"/>
              <w:bottom w:w="0" w:type="dxa"/>
              <w:right w:w="105" w:type="dxa"/>
            </w:tcMar>
            <w:vAlign w:val="top"/>
          </w:tcPr>
          <w:p w14:paraId="036887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default" w:ascii="Times New Roman" w:hAnsi="Times New Roman" w:cs="Times New Roman"/>
                <w:sz w:val="31"/>
                <w:szCs w:val="31"/>
                <w:bdr w:val="none" w:color="auto" w:sz="0" w:space="0"/>
              </w:rPr>
              <w:t>1000</w:t>
            </w:r>
          </w:p>
        </w:tc>
        <w:tc>
          <w:tcPr>
            <w:tcW w:w="1560" w:type="dxa"/>
            <w:tcBorders>
              <w:top w:val="nil"/>
              <w:left w:val="nil"/>
              <w:bottom w:val="nil"/>
              <w:right w:val="nil"/>
            </w:tcBorders>
            <w:shd w:val="clear"/>
            <w:tcMar>
              <w:top w:w="0" w:type="dxa"/>
              <w:left w:w="105" w:type="dxa"/>
              <w:bottom w:w="0" w:type="dxa"/>
              <w:right w:w="105" w:type="dxa"/>
            </w:tcMar>
            <w:vAlign w:val="top"/>
          </w:tcPr>
          <w:p w14:paraId="01ECDA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default" w:ascii="Times New Roman" w:hAnsi="Times New Roman" w:cs="Times New Roman"/>
                <w:sz w:val="31"/>
                <w:szCs w:val="31"/>
                <w:bdr w:val="none" w:color="auto" w:sz="0" w:space="0"/>
              </w:rPr>
              <w:t>5</w:t>
            </w:r>
          </w:p>
        </w:tc>
        <w:tc>
          <w:tcPr>
            <w:tcW w:w="2085" w:type="dxa"/>
            <w:tcBorders>
              <w:top w:val="nil"/>
              <w:left w:val="nil"/>
              <w:bottom w:val="nil"/>
              <w:right w:val="nil"/>
            </w:tcBorders>
            <w:shd w:val="clear"/>
            <w:tcMar>
              <w:top w:w="0" w:type="dxa"/>
              <w:left w:w="105" w:type="dxa"/>
              <w:bottom w:w="0" w:type="dxa"/>
              <w:right w:w="105" w:type="dxa"/>
            </w:tcMar>
            <w:vAlign w:val="top"/>
          </w:tcPr>
          <w:p w14:paraId="36479A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default" w:ascii="Times New Roman" w:hAnsi="Times New Roman" w:cs="Times New Roman"/>
                <w:sz w:val="31"/>
                <w:szCs w:val="31"/>
                <w:bdr w:val="none" w:color="auto" w:sz="0" w:space="0"/>
              </w:rPr>
              <w:t>8.5</w:t>
            </w:r>
          </w:p>
        </w:tc>
      </w:tr>
      <w:tr w14:paraId="3633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c>
          <w:tcPr>
            <w:tcW w:w="2445" w:type="dxa"/>
            <w:tcBorders>
              <w:top w:val="nil"/>
              <w:left w:val="nil"/>
              <w:bottom w:val="nil"/>
              <w:right w:val="nil"/>
            </w:tcBorders>
            <w:shd w:val="clear"/>
            <w:tcMar>
              <w:top w:w="0" w:type="dxa"/>
              <w:left w:w="105" w:type="dxa"/>
              <w:bottom w:w="0" w:type="dxa"/>
              <w:right w:w="105" w:type="dxa"/>
            </w:tcMar>
            <w:vAlign w:val="top"/>
          </w:tcPr>
          <w:p w14:paraId="4D2E34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eastAsia" w:ascii="仿宋_GB2312" w:hAnsi="Times New Roman" w:eastAsia="仿宋_GB2312" w:cs="仿宋_GB2312"/>
                <w:sz w:val="31"/>
                <w:szCs w:val="31"/>
                <w:bdr w:val="none" w:color="auto" w:sz="0" w:space="0"/>
              </w:rPr>
              <w:t>区级匹配资金</w:t>
            </w:r>
          </w:p>
        </w:tc>
        <w:tc>
          <w:tcPr>
            <w:tcW w:w="1455" w:type="dxa"/>
            <w:tcBorders>
              <w:top w:val="nil"/>
              <w:left w:val="nil"/>
              <w:bottom w:val="nil"/>
              <w:right w:val="nil"/>
            </w:tcBorders>
            <w:shd w:val="clear"/>
            <w:tcMar>
              <w:top w:w="0" w:type="dxa"/>
              <w:left w:w="105" w:type="dxa"/>
              <w:bottom w:w="0" w:type="dxa"/>
              <w:right w:w="105" w:type="dxa"/>
            </w:tcMar>
            <w:vAlign w:val="top"/>
          </w:tcPr>
          <w:p w14:paraId="3AEB96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default" w:ascii="Times New Roman" w:hAnsi="Times New Roman" w:cs="Times New Roman"/>
                <w:sz w:val="31"/>
                <w:szCs w:val="31"/>
                <w:bdr w:val="none" w:color="auto" w:sz="0" w:space="0"/>
              </w:rPr>
              <w:t>1700</w:t>
            </w:r>
          </w:p>
        </w:tc>
        <w:tc>
          <w:tcPr>
            <w:tcW w:w="975" w:type="dxa"/>
            <w:tcBorders>
              <w:top w:val="nil"/>
              <w:left w:val="nil"/>
              <w:bottom w:val="nil"/>
              <w:right w:val="nil"/>
            </w:tcBorders>
            <w:shd w:val="clear"/>
            <w:tcMar>
              <w:top w:w="0" w:type="dxa"/>
              <w:left w:w="105" w:type="dxa"/>
              <w:bottom w:w="0" w:type="dxa"/>
              <w:right w:w="105" w:type="dxa"/>
            </w:tcMar>
            <w:vAlign w:val="top"/>
          </w:tcPr>
          <w:p w14:paraId="53485C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default" w:ascii="Times New Roman" w:hAnsi="Times New Roman" w:cs="Times New Roman"/>
                <w:sz w:val="31"/>
                <w:szCs w:val="31"/>
                <w:bdr w:val="none" w:color="auto" w:sz="0" w:space="0"/>
              </w:rPr>
              <w:t>80</w:t>
            </w:r>
          </w:p>
        </w:tc>
        <w:tc>
          <w:tcPr>
            <w:tcW w:w="1485" w:type="dxa"/>
            <w:tcBorders>
              <w:top w:val="nil"/>
              <w:left w:val="nil"/>
              <w:bottom w:val="nil"/>
              <w:right w:val="nil"/>
            </w:tcBorders>
            <w:shd w:val="clear"/>
            <w:tcMar>
              <w:top w:w="0" w:type="dxa"/>
              <w:left w:w="105" w:type="dxa"/>
              <w:bottom w:w="0" w:type="dxa"/>
              <w:right w:w="105" w:type="dxa"/>
            </w:tcMar>
            <w:vAlign w:val="top"/>
          </w:tcPr>
          <w:p w14:paraId="0B361F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default" w:ascii="Times New Roman" w:hAnsi="Times New Roman" w:cs="Times New Roman"/>
                <w:sz w:val="31"/>
                <w:szCs w:val="31"/>
                <w:bdr w:val="none" w:color="auto" w:sz="0" w:space="0"/>
              </w:rPr>
              <w:t>2500</w:t>
            </w:r>
          </w:p>
        </w:tc>
        <w:tc>
          <w:tcPr>
            <w:tcW w:w="1560" w:type="dxa"/>
            <w:tcBorders>
              <w:top w:val="nil"/>
              <w:left w:val="nil"/>
              <w:bottom w:val="nil"/>
              <w:right w:val="nil"/>
            </w:tcBorders>
            <w:shd w:val="clear"/>
            <w:tcMar>
              <w:top w:w="0" w:type="dxa"/>
              <w:left w:w="105" w:type="dxa"/>
              <w:bottom w:w="0" w:type="dxa"/>
              <w:right w:w="105" w:type="dxa"/>
            </w:tcMar>
            <w:vAlign w:val="top"/>
          </w:tcPr>
          <w:p w14:paraId="6D98ED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default" w:ascii="Times New Roman" w:hAnsi="Times New Roman" w:cs="Times New Roman"/>
                <w:sz w:val="31"/>
                <w:szCs w:val="31"/>
                <w:bdr w:val="none" w:color="auto" w:sz="0" w:space="0"/>
              </w:rPr>
              <w:t>5</w:t>
            </w:r>
          </w:p>
        </w:tc>
        <w:tc>
          <w:tcPr>
            <w:tcW w:w="2085" w:type="dxa"/>
            <w:tcBorders>
              <w:top w:val="nil"/>
              <w:left w:val="nil"/>
              <w:bottom w:val="nil"/>
              <w:right w:val="nil"/>
            </w:tcBorders>
            <w:shd w:val="clear"/>
            <w:tcMar>
              <w:top w:w="0" w:type="dxa"/>
              <w:left w:w="105" w:type="dxa"/>
              <w:bottom w:w="0" w:type="dxa"/>
              <w:right w:w="105" w:type="dxa"/>
            </w:tcMar>
            <w:vAlign w:val="top"/>
          </w:tcPr>
          <w:p w14:paraId="61F8B1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default" w:ascii="Times New Roman" w:hAnsi="Times New Roman" w:cs="Times New Roman"/>
                <w:sz w:val="31"/>
                <w:szCs w:val="31"/>
                <w:bdr w:val="none" w:color="auto" w:sz="0" w:space="0"/>
              </w:rPr>
              <w:t>14.85</w:t>
            </w:r>
          </w:p>
        </w:tc>
      </w:tr>
      <w:tr w14:paraId="7096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c>
          <w:tcPr>
            <w:tcW w:w="2445" w:type="dxa"/>
            <w:tcBorders>
              <w:top w:val="nil"/>
              <w:left w:val="nil"/>
              <w:bottom w:val="nil"/>
              <w:right w:val="nil"/>
            </w:tcBorders>
            <w:shd w:val="clear"/>
            <w:tcMar>
              <w:top w:w="0" w:type="dxa"/>
              <w:left w:w="105" w:type="dxa"/>
              <w:bottom w:w="0" w:type="dxa"/>
              <w:right w:w="105" w:type="dxa"/>
            </w:tcMar>
            <w:vAlign w:val="top"/>
          </w:tcPr>
          <w:p w14:paraId="672D15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eastAsia" w:ascii="仿宋_GB2312" w:hAnsi="Times New Roman" w:eastAsia="仿宋_GB2312" w:cs="仿宋_GB2312"/>
                <w:sz w:val="31"/>
                <w:szCs w:val="31"/>
                <w:bdr w:val="none" w:color="auto" w:sz="0" w:space="0"/>
              </w:rPr>
              <w:t>农牧户自筹</w:t>
            </w:r>
          </w:p>
        </w:tc>
        <w:tc>
          <w:tcPr>
            <w:tcW w:w="1455" w:type="dxa"/>
            <w:tcBorders>
              <w:top w:val="nil"/>
              <w:left w:val="nil"/>
              <w:bottom w:val="nil"/>
              <w:right w:val="nil"/>
            </w:tcBorders>
            <w:shd w:val="clear"/>
            <w:tcMar>
              <w:top w:w="0" w:type="dxa"/>
              <w:left w:w="105" w:type="dxa"/>
              <w:bottom w:w="0" w:type="dxa"/>
              <w:right w:w="105" w:type="dxa"/>
            </w:tcMar>
            <w:vAlign w:val="top"/>
          </w:tcPr>
          <w:p w14:paraId="25E2B1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eastAsia" w:ascii="仿宋_GB2312" w:hAnsi="Times New Roman" w:eastAsia="仿宋_GB2312" w:cs="仿宋_GB2312"/>
                <w:sz w:val="31"/>
                <w:szCs w:val="31"/>
                <w:bdr w:val="none" w:color="auto" w:sz="0" w:space="0"/>
              </w:rPr>
              <w:t>屋内厕具</w:t>
            </w:r>
          </w:p>
        </w:tc>
        <w:tc>
          <w:tcPr>
            <w:tcW w:w="975" w:type="dxa"/>
            <w:tcBorders>
              <w:top w:val="nil"/>
              <w:left w:val="nil"/>
              <w:bottom w:val="nil"/>
              <w:right w:val="nil"/>
            </w:tcBorders>
            <w:shd w:val="clear"/>
            <w:tcMar>
              <w:top w:w="0" w:type="dxa"/>
              <w:left w:w="105" w:type="dxa"/>
              <w:bottom w:w="0" w:type="dxa"/>
              <w:right w:w="105" w:type="dxa"/>
            </w:tcMar>
            <w:vAlign w:val="top"/>
          </w:tcPr>
          <w:p w14:paraId="38C10D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default" w:ascii="Times New Roman" w:hAnsi="Times New Roman" w:cs="Times New Roman"/>
                <w:sz w:val="31"/>
                <w:szCs w:val="31"/>
                <w:bdr w:val="none" w:color="auto" w:sz="0" w:space="0"/>
              </w:rPr>
              <w:t>80</w:t>
            </w:r>
          </w:p>
        </w:tc>
        <w:tc>
          <w:tcPr>
            <w:tcW w:w="1485" w:type="dxa"/>
            <w:tcBorders>
              <w:top w:val="nil"/>
              <w:left w:val="nil"/>
              <w:bottom w:val="nil"/>
              <w:right w:val="nil"/>
            </w:tcBorders>
            <w:shd w:val="clear"/>
            <w:tcMar>
              <w:top w:w="0" w:type="dxa"/>
              <w:left w:w="105" w:type="dxa"/>
              <w:bottom w:w="0" w:type="dxa"/>
              <w:right w:w="105" w:type="dxa"/>
            </w:tcMar>
            <w:vAlign w:val="top"/>
          </w:tcPr>
          <w:p w14:paraId="6884E2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default" w:ascii="Times New Roman" w:hAnsi="Times New Roman" w:cs="Times New Roman"/>
                <w:sz w:val="31"/>
                <w:szCs w:val="31"/>
                <w:bdr w:val="none" w:color="auto" w:sz="0" w:space="0"/>
              </w:rPr>
              <w:t>600</w:t>
            </w:r>
          </w:p>
        </w:tc>
        <w:tc>
          <w:tcPr>
            <w:tcW w:w="1560" w:type="dxa"/>
            <w:tcBorders>
              <w:top w:val="nil"/>
              <w:left w:val="nil"/>
              <w:bottom w:val="nil"/>
              <w:right w:val="nil"/>
            </w:tcBorders>
            <w:shd w:val="clear"/>
            <w:tcMar>
              <w:top w:w="0" w:type="dxa"/>
              <w:left w:w="105" w:type="dxa"/>
              <w:bottom w:w="0" w:type="dxa"/>
              <w:right w:w="105" w:type="dxa"/>
            </w:tcMar>
            <w:vAlign w:val="top"/>
          </w:tcPr>
          <w:p w14:paraId="358802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default" w:ascii="Times New Roman" w:hAnsi="Times New Roman" w:cs="Times New Roman"/>
                <w:sz w:val="31"/>
                <w:szCs w:val="31"/>
                <w:bdr w:val="none" w:color="auto" w:sz="0" w:space="0"/>
              </w:rPr>
              <w:t>5</w:t>
            </w:r>
          </w:p>
        </w:tc>
        <w:tc>
          <w:tcPr>
            <w:tcW w:w="2085" w:type="dxa"/>
            <w:tcBorders>
              <w:top w:val="nil"/>
              <w:left w:val="nil"/>
              <w:bottom w:val="nil"/>
              <w:right w:val="nil"/>
            </w:tcBorders>
            <w:shd w:val="clear"/>
            <w:tcMar>
              <w:top w:w="0" w:type="dxa"/>
              <w:left w:w="105" w:type="dxa"/>
              <w:bottom w:w="0" w:type="dxa"/>
              <w:right w:w="105" w:type="dxa"/>
            </w:tcMar>
            <w:vAlign w:val="top"/>
          </w:tcPr>
          <w:p w14:paraId="7386E6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0"/>
            </w:pPr>
            <w:r>
              <w:rPr>
                <w:rFonts w:hint="default" w:ascii="Times New Roman" w:hAnsi="Times New Roman" w:cs="Times New Roman"/>
                <w:sz w:val="31"/>
                <w:szCs w:val="31"/>
                <w:bdr w:val="none" w:color="auto" w:sz="0" w:space="0"/>
              </w:rPr>
              <w:t>0.3</w:t>
            </w:r>
          </w:p>
        </w:tc>
      </w:tr>
    </w:tbl>
    <w:p w14:paraId="3BE4D081">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二、主要任务</w:t>
      </w:r>
    </w:p>
    <w:p w14:paraId="68A5BA2E">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（一）科学制定实施方案。</w:t>
      </w:r>
      <w:r>
        <w:rPr>
          <w:rFonts w:hint="eastAsia" w:ascii="仿宋_GB2312" w:hAnsi="Times New Roman" w:eastAsia="仿宋_GB2312" w:cs="仿宋_GB2312"/>
          <w:i w:val="0"/>
          <w:iCs w:val="0"/>
          <w:caps w:val="0"/>
          <w:color w:val="000000"/>
          <w:spacing w:val="0"/>
          <w:sz w:val="31"/>
          <w:szCs w:val="31"/>
        </w:rPr>
        <w:t>各涉农地区要在充分考虑城市周边、农村、牧区、高寒、缺水等不同区域的经济发展水平、自然条件、风俗习惯和基层组织强弱及群众意愿的基础上，采取自下而上、上下结合的方式，科学确定农村牧区户厕改建目标任务。以涉农地区为单位制定农村牧区厕所革命专项实施方案，明确年度任务、资金安排、技术模式、保障措施等。厕改奖补实行一宅一厕，长期无人居住或三年内有搬迁计划的农牧户不列入改造计划，不计为改厕户数基数。合理确定厕改优先顺序，选择基层组织能力强、农牧民群众意愿高、技术模式成熟适用、管护运行机制完善和资金筹措有保障的嘎查村优先推进。在居住分散、地处偏远、地下水位高的地区，经试验示范、群众认可后，再逐步推开；对群众意愿不高，不具备改厕条件的地区，可暂缓推进；对空心村、拟搬迁村，可以通过建设公共厕所解决农牧民卫生如厕需求。在农村牧区综合服务中心、文化活动中心、中小学、集贸市场等公共场所以及中心村、旅游景区等流动人口较集中区域，推进公共卫生厕所建设。</w:t>
      </w:r>
    </w:p>
    <w:p w14:paraId="6ED25396">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（二）严格改厕流程和模式。</w:t>
      </w:r>
      <w:r>
        <w:rPr>
          <w:rFonts w:hint="eastAsia" w:ascii="仿宋_GB2312" w:hAnsi="Times New Roman" w:eastAsia="仿宋_GB2312" w:cs="仿宋_GB2312"/>
          <w:i w:val="0"/>
          <w:iCs w:val="0"/>
          <w:caps w:val="0"/>
          <w:color w:val="000000"/>
          <w:spacing w:val="0"/>
          <w:sz w:val="31"/>
          <w:szCs w:val="31"/>
        </w:rPr>
        <w:t>充分尊重群众意愿，自愿申报、愿改尽改，自下而上摸排底数，建立厕改需求台账。严格改厕意愿调查、改厕模式选择、签订意向书、农牧民自愿提出申请、涉农地区逐级上报的申报流程。要按照群众接受、简单适用、成本适中、技术成熟、维护方便、不污染公共水体的要求，通过实地调研、技术论证、模式比较、试点示范等方式，因地制宜，合理确定农村户用无害化卫生厕所改造模式。改厕模式必须符合国家和自治区技术规范，并至少经过一个周期试验，成熟后再逐步推开。严格落实项目建设事前、事中、事后监督管控责任，做到</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建一个、成一个、用一个，一年四季都能用</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要继续加大设施配套建设力度，协同推进农村厕所粪污治理与农村生活污水一体化治理，不断提升农村卫生厕所普及率，改善人民群众的如厕条件。经实践比较适合我区的改厕主要模式有：分散式污水处理系统、微生物原位降解厕所等。具体改厕模式由各乡镇根据实际确定。依照</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谁施工，谁招标</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的原则，按照国家相关规定，实施主体应采用招投标方式确定改厕工程的施工单位和监理单位，实施主体要与中标单位签订工程施工及监理合同。</w:t>
      </w:r>
    </w:p>
    <w:p w14:paraId="36B0073D">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（三）加强标准体系建设。</w:t>
      </w:r>
      <w:r>
        <w:rPr>
          <w:rFonts w:hint="eastAsia" w:ascii="仿宋_GB2312" w:hAnsi="Times New Roman" w:eastAsia="仿宋_GB2312" w:cs="仿宋_GB2312"/>
          <w:i w:val="0"/>
          <w:iCs w:val="0"/>
          <w:caps w:val="0"/>
          <w:color w:val="000000"/>
          <w:spacing w:val="0"/>
          <w:sz w:val="31"/>
          <w:szCs w:val="31"/>
        </w:rPr>
        <w:t>逐步健全完善农村牧区户用厕所标准体系，积极推动农村牧区厕所建设、验收、设施设备管护及粪污资源化利用等领域的地方标准的制定修订。开展农村牧区户用厕所建设等相关标准化试点，探索总结可复制可推广的经验做法。建立健全区、乡镇两级厕所革命技术服务体系，组建专家技术服务队伍，组织企业和科研单位，研究探索适宜寒冷干旱等地区的技术模式，为改厕工作提供技术指导。</w:t>
      </w:r>
    </w:p>
    <w:p w14:paraId="76801990">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（四）严把工程质量和验收关。</w:t>
      </w:r>
      <w:r>
        <w:rPr>
          <w:rFonts w:hint="eastAsia" w:ascii="仿宋_GB2312" w:hAnsi="Times New Roman" w:eastAsia="仿宋_GB2312" w:cs="仿宋_GB2312"/>
          <w:i w:val="0"/>
          <w:iCs w:val="0"/>
          <w:caps w:val="0"/>
          <w:color w:val="000000"/>
          <w:spacing w:val="0"/>
          <w:sz w:val="31"/>
          <w:szCs w:val="31"/>
        </w:rPr>
        <w:t>严格落实农村卫生厕所技术标准和规范要求，严格执行农村牧区改厕选材质量标准和技术参数，加大产品质量市场监管力度，将不合格产品和企业列入黑名单，实施信用联合惩戒。科学编制改厕方案，明确厕具产品验收、基坑开挖、化粪池和管道安装、厕屋建设、便器安装和档案资料等六个方面的规范标准；要建立健全农村改厕质量管理制度，乡镇和嘎查村要加强改厕施工现场质量巡查与指导监督，改厕施工必须由有资质的施工队伍承担，施工人员需经过培训；落实工程质量和安全责任制，确保工程质量符合施工及验收标准。要严格招标采购程序，聘请第三方监理单位对改厕全过程进行监理。严把竣工验收关，采取政府部门、农牧民、第三方等联合进行逐村逐户验收，验收结果由农户、村委会、涉农地区、第三方（监理单位）共同签字确认。市级复验、自治区抽验，将运行使用效果和群众满意度纳入验收指标，确保高标准、高质量完成户厕改造工作。</w:t>
      </w:r>
    </w:p>
    <w:p w14:paraId="27F58F10">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（五）统筹推进厕所粪污治理。</w:t>
      </w:r>
      <w:r>
        <w:rPr>
          <w:rFonts w:hint="eastAsia" w:ascii="仿宋_GB2312" w:hAnsi="Times New Roman" w:eastAsia="仿宋_GB2312" w:cs="仿宋_GB2312"/>
          <w:i w:val="0"/>
          <w:iCs w:val="0"/>
          <w:caps w:val="0"/>
          <w:color w:val="000000"/>
          <w:spacing w:val="0"/>
          <w:sz w:val="31"/>
          <w:szCs w:val="31"/>
        </w:rPr>
        <w:t>根据地理环境、农牧民生产生活习惯、污水处理设施现状，合理选择分散式、相对集中式或纳入城镇管网式等方式收集处理厕所粪污。具备纳入污水管网条件的户厕，将粪污接入污水处理系统统一处理；不具备纳入污水管网的户厕，可建立粪污集中处理设施，定期掏运，集中进行无害化处理或资源化利用；对偏远地区、居住分散的户厕，与庭院经济相结合，就地就近消纳。鼓励家庭农（牧）场、农牧民合作社等新型农业经营组织开展厕所粪污收集处理利用。鼓励厕所粪污与牲畜粪污统筹处理和资源化利用。</w:t>
      </w:r>
    </w:p>
    <w:p w14:paraId="29EC944D">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（六）建立健全运维管护体系。</w:t>
      </w:r>
      <w:r>
        <w:rPr>
          <w:rFonts w:hint="eastAsia" w:ascii="仿宋_GB2312" w:hAnsi="Times New Roman" w:eastAsia="仿宋_GB2312" w:cs="仿宋_GB2312"/>
          <w:i w:val="0"/>
          <w:iCs w:val="0"/>
          <w:caps w:val="0"/>
          <w:color w:val="000000"/>
          <w:spacing w:val="0"/>
          <w:sz w:val="31"/>
          <w:szCs w:val="31"/>
        </w:rPr>
        <w:t>将建立运行管护机制作为前置要求，坚持农村牧区厕所改建与使用管护统筹安排，一体化设计、一体化建设、一体化运维。各乡镇制定规范化的管护制度，建立健全日常巡检、设备维修和粪污清掏等管护体系，形成建、管、修、用并重的长效管护机制，做到</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五有</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：有制度，明确粪污收集处理具体实施办法和责任人</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有标准，明确维修、抽取、转运、处理的具体要求</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有队伍，配备精干高效、责任心强的管护人员</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有经费，保障日常管护专项经费，保障工作正常开展</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有督查，通过督查等多种途径推动管护机制的落实。有序开展厕所建设和维护知识技能培训，发挥嘎查村组织和农牧民主体作用，加强自我维护。鼓励采用政府购买服务的方式，引导当地农牧民或市场主体组建专业化服务队伍提供厕具检查检修、粪污收运以及粪液粪渣资源化利用等服务，形成管收用并重、责权利一致的改厕长效管护机制。</w:t>
      </w:r>
    </w:p>
    <w:p w14:paraId="157466DB">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（七）健全完善县乡村三级档案管理。</w:t>
      </w:r>
      <w:r>
        <w:rPr>
          <w:rFonts w:hint="eastAsia" w:ascii="仿宋_GB2312" w:hAnsi="Times New Roman" w:eastAsia="仿宋_GB2312" w:cs="仿宋_GB2312"/>
          <w:i w:val="0"/>
          <w:iCs w:val="0"/>
          <w:caps w:val="0"/>
          <w:color w:val="000000"/>
          <w:spacing w:val="0"/>
          <w:sz w:val="31"/>
          <w:szCs w:val="31"/>
        </w:rPr>
        <w:t>为确保户厕档案的完整性、准确性、系统性、统一性，县、乡（镇）、村三级均需建立农村改厕档案，做到一户一档。纸质档案要以乡（镇）或村为单位，装订成册备查。村级档案内容包括封面、目录、户主身份证复印件、申请表、改厕协议书、改厕到户清单、改厕前后对比照片、改厕项目竣工验收表等。乡镇存档包括农户改厕意愿书、改厕协议书、自查验收表、改厕前后对比图片等资料。区级存档包括各乡镇申请验收报告、区级验收表、改厕前后对比图片等。同时，加强电子档案管理。依据改厕工程进度，及时将农户改厕信息录入监测信息系统，确保信息真实准确。</w:t>
      </w:r>
    </w:p>
    <w:p w14:paraId="46CA1D8D">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三、保障措施</w:t>
      </w:r>
    </w:p>
    <w:p w14:paraId="394E0B2D">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（一）强化组织领导。</w:t>
      </w:r>
      <w:r>
        <w:rPr>
          <w:rFonts w:hint="eastAsia" w:ascii="仿宋_GB2312" w:hAnsi="Times New Roman" w:eastAsia="仿宋_GB2312" w:cs="仿宋_GB2312"/>
          <w:i w:val="0"/>
          <w:iCs w:val="0"/>
          <w:caps w:val="0"/>
          <w:color w:val="000000"/>
          <w:spacing w:val="0"/>
          <w:sz w:val="31"/>
          <w:szCs w:val="31"/>
        </w:rPr>
        <w:t>坚持三级书记抓乡村振兴的工作推进机制，强化上下联动、部门协同配合的运行机制。区级强化主体责任，做好组织推动、项目安排、资金筹措、推进实施等工作，对实施效果负责；苏木乡镇要做好具体组织实施工作；嘎查村要发挥党组织的战斗堡垒作用，以及第一书记的作用，做好联系群众开展议事宣传工作，逐户逐厕抓好任务落实。</w:t>
      </w:r>
    </w:p>
    <w:p w14:paraId="2EF3407D">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（二）强化责任分工。</w:t>
      </w:r>
      <w:r>
        <w:rPr>
          <w:rFonts w:hint="eastAsia" w:ascii="仿宋_GB2312" w:hAnsi="Times New Roman" w:eastAsia="仿宋_GB2312" w:cs="仿宋_GB2312"/>
          <w:i w:val="0"/>
          <w:iCs w:val="0"/>
          <w:caps w:val="0"/>
          <w:color w:val="000000"/>
          <w:spacing w:val="0"/>
          <w:sz w:val="31"/>
          <w:szCs w:val="31"/>
        </w:rPr>
        <w:t>农牧部门要建立目标责任制，统筹整合各类资源，紧密配合，形成合力，共同推进。根据工作实际，加强项目建设、资金保障、技术指导、督查考核等工作，全方位全过程落实户厕改建的各项政策措施，高标准高质量组织实施</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十四五</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改厕计划。</w:t>
      </w:r>
    </w:p>
    <w:p w14:paraId="4E7A6DED">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（三）强化政策支持。</w:t>
      </w:r>
      <w:r>
        <w:rPr>
          <w:rFonts w:hint="eastAsia" w:ascii="仿宋_GB2312" w:hAnsi="Times New Roman" w:eastAsia="仿宋_GB2312" w:cs="仿宋_GB2312"/>
          <w:i w:val="0"/>
          <w:iCs w:val="0"/>
          <w:caps w:val="0"/>
          <w:color w:val="000000"/>
          <w:spacing w:val="0"/>
          <w:sz w:val="31"/>
          <w:szCs w:val="31"/>
        </w:rPr>
        <w:t>在争取落实国家、自治区、市户厕改建专项奖补资金的基础上，区财政要加大户厕改建专项资金安排力度，并纳入财政年度预算；有关部门要按照部门职责，积极向上争取政策、项目和资金支持，为农村厕所改造工作提供有力支持。中央、自治区户厕改建专项奖补资金针对不同地域、不同模式，实行差异化补助，逐步完善改厕户自筹资金筹措机制。采取先建后补、以奖代补等方式，引导农民自愿改厕，重点支持厕所改造、后续管护维修、粪污无害化处理和资源化利用等。发挥财政资金撬动作用，依法依规吸引社会资本、金融资本参与投入。严格落实信息公开、村务公开要求，建立完善奖补政策、奖补标准、资金使用情况等公示制度，接受群众监督。</w:t>
      </w:r>
    </w:p>
    <w:p w14:paraId="30F809F5">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（四）强化督查考核。</w:t>
      </w:r>
      <w:r>
        <w:rPr>
          <w:rFonts w:hint="eastAsia" w:ascii="仿宋_GB2312" w:hAnsi="Times New Roman" w:eastAsia="仿宋_GB2312" w:cs="仿宋_GB2312"/>
          <w:i w:val="0"/>
          <w:iCs w:val="0"/>
          <w:caps w:val="0"/>
          <w:color w:val="000000"/>
          <w:spacing w:val="0"/>
          <w:sz w:val="31"/>
          <w:szCs w:val="31"/>
        </w:rPr>
        <w:t>将农村牧区厕所革命作为涉农地区实施乡村振兴战略实绩考核的重要内容，定期组织</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回头看</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采取自查、随机抽查、第三方评估等方式，对户厕建设管理情况进行督查，重点督查组织管理、技术指导、资金支持、改厕进度、建设质量、群众满意度等。建立群众监督机制，通过设立举报电话、举报信箱等方式，接受群众和社会监督；建立绩效考评机制，注重考核结果运用，及时总结经验，发现问题，对工作落实到位、农牧民群众满意的给予表扬，对措施不力、工作不实、搞形式主义、官僚主义、劳民伤财、无效实施的单位和个人，严肃追责问责。确保全面完成目标任务。</w:t>
      </w:r>
    </w:p>
    <w:p w14:paraId="71B60C35">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1"/>
          <w:szCs w:val="31"/>
        </w:rPr>
        <w:t>（五）强化宣传引导。</w:t>
      </w:r>
      <w:r>
        <w:rPr>
          <w:rFonts w:hint="eastAsia" w:ascii="仿宋_GB2312" w:hAnsi="Times New Roman" w:eastAsia="仿宋_GB2312" w:cs="仿宋_GB2312"/>
          <w:i w:val="0"/>
          <w:iCs w:val="0"/>
          <w:caps w:val="0"/>
          <w:color w:val="000000"/>
          <w:spacing w:val="0"/>
          <w:sz w:val="31"/>
          <w:szCs w:val="31"/>
        </w:rPr>
        <w:t>结合开展村庄清洁行动、卫生创建、爱国卫生运动等活动，通过嘎查村宣传栏、发放明白纸、入户讲解、村大喇叭、微信公众号等，组织开展农村牧区厕所革命公益宣传活动，宣传农村牧区改厕工作的重要意义。开展文明如厕、卫生厕所日常管护、卫生健康知识等宣传教育，引导农牧民逐步形成健康卫生的生活习惯，提升农牧民群众的认知度、参与度和自我管护能力。积极发挥嘎查村</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两委</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驻村第一书记、优秀共产党员等基础优秀人才作用，广泛发动群众，激发农牧民群众改善生活条件的主动性和积极性。加强农牧民规范使用卫生厕所培训，确保农牧民会用、愿用，提高户厕使用率。加强正面宣传和舆论监督，及时回应社会关切，营造良好舆论氛围。</w:t>
      </w:r>
    </w:p>
    <w:p w14:paraId="2CB36AE9">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14:paraId="7683FA23">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附件</w:t>
      </w:r>
      <w:r>
        <w:rPr>
          <w:rFonts w:hint="default" w:ascii="Times New Roman" w:hAnsi="Times New Roman" w:eastAsia="sans-serif" w:cs="Times New Roman"/>
          <w:i w:val="0"/>
          <w:iCs w:val="0"/>
          <w:caps w:val="0"/>
          <w:color w:val="000000"/>
          <w:spacing w:val="0"/>
          <w:sz w:val="31"/>
          <w:szCs w:val="31"/>
        </w:rPr>
        <w:t>1</w:t>
      </w:r>
      <w:r>
        <w:rPr>
          <w:rFonts w:hint="eastAsia" w:ascii="仿宋_GB2312" w:hAnsi="Times New Roman" w:eastAsia="仿宋_GB2312" w:cs="仿宋_GB2312"/>
          <w:i w:val="0"/>
          <w:iCs w:val="0"/>
          <w:caps w:val="0"/>
          <w:color w:val="000000"/>
          <w:spacing w:val="0"/>
          <w:sz w:val="31"/>
          <w:szCs w:val="31"/>
        </w:rPr>
        <w:t>：石拐区农村牧区</w:t>
      </w: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年户厕改造计划表</w:t>
      </w:r>
    </w:p>
    <w:p w14:paraId="4D642303">
      <w:pPr>
        <w:pStyle w:val="2"/>
        <w:keepNext w:val="0"/>
        <w:keepLines w:val="0"/>
        <w:pageBreakBefore w:val="0"/>
        <w:widowControl/>
        <w:suppressLineNumbers w:val="0"/>
        <w:kinsoku/>
        <w:overflowPunct/>
        <w:topLinePunct w:val="0"/>
        <w:autoSpaceDE/>
        <w:autoSpaceDN/>
        <w:bidi w:val="0"/>
        <w:adjustRightInd w:val="0"/>
        <w:snapToGrid w:val="0"/>
        <w:spacing w:before="0" w:beforeAutospacing="0" w:afterAutospacing="0" w:line="560" w:lineRule="exact"/>
        <w:ind w:left="0" w:firstLine="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14:paraId="3CC2D989">
      <w:pPr>
        <w:pStyle w:val="2"/>
        <w:keepNext w:val="0"/>
        <w:keepLines w:val="0"/>
        <w:pageBreakBefore w:val="0"/>
        <w:widowControl/>
        <w:suppressLineNumbers w:val="0"/>
        <w:kinsoku/>
        <w:overflowPunct/>
        <w:topLinePunct w:val="0"/>
        <w:autoSpaceDE/>
        <w:autoSpaceDN/>
        <w:bidi w:val="0"/>
        <w:adjustRightInd w:val="0"/>
        <w:snapToGrid w:val="0"/>
        <w:spacing w:beforeAutospacing="0" w:afterAutospacing="0" w:line="560" w:lineRule="exact"/>
        <w:ind w:left="0" w:firstLine="0"/>
        <w:rPr>
          <w:rFonts w:hint="default" w:ascii="sans-serif" w:hAnsi="sans-serif" w:eastAsia="sans-serif" w:cs="sans-serif"/>
          <w:i w:val="0"/>
          <w:iCs w:val="0"/>
          <w:caps w:val="0"/>
          <w:color w:val="000000"/>
          <w:spacing w:val="0"/>
          <w:sz w:val="27"/>
          <w:szCs w:val="27"/>
        </w:rPr>
        <w:sectPr>
          <w:pgSz w:w="11906" w:h="16838"/>
          <w:pgMar w:top="2098" w:right="1474" w:bottom="1984" w:left="1474" w:header="851" w:footer="992" w:gutter="0"/>
          <w:cols w:space="0" w:num="1"/>
          <w:rtlGutter w:val="0"/>
          <w:docGrid w:type="lines" w:linePitch="312" w:charSpace="0"/>
        </w:sectPr>
      </w:pPr>
    </w:p>
    <w:p w14:paraId="1EFC26F6">
      <w:pPr>
        <w:keepNext w:val="0"/>
        <w:keepLines w:val="0"/>
        <w:pageBreakBefore w:val="0"/>
        <w:kinsoku/>
        <w:overflowPunct/>
        <w:topLinePunct w:val="0"/>
        <w:autoSpaceDE/>
        <w:autoSpaceDN/>
        <w:bidi w:val="0"/>
        <w:adjustRightInd w:val="0"/>
        <w:snapToGrid w:val="0"/>
        <w:spacing w:beforeAutospacing="0" w:afterAutospacing="0" w:line="560" w:lineRule="exact"/>
      </w:pPr>
      <w:bookmarkStart w:id="0" w:name="_GoBack"/>
      <w:r>
        <w:rPr>
          <w:rFonts w:hint="default" w:ascii="sans-serif" w:hAnsi="sans-serif" w:eastAsia="sans-serif" w:cs="sans-serif"/>
          <w:i w:val="0"/>
          <w:iCs w:val="0"/>
          <w:caps w:val="0"/>
          <w:color w:val="000000"/>
          <w:spacing w:val="0"/>
          <w:sz w:val="27"/>
          <w:szCs w:val="27"/>
          <w:bdr w:val="single" w:color="auto" w:sz="6" w:space="0"/>
        </w:rPr>
        <w:drawing>
          <wp:anchor distT="0" distB="0" distL="114300" distR="114300" simplePos="0" relativeHeight="251659264" behindDoc="0" locked="0" layoutInCell="1" allowOverlap="1">
            <wp:simplePos x="0" y="0"/>
            <wp:positionH relativeFrom="column">
              <wp:posOffset>1276985</wp:posOffset>
            </wp:positionH>
            <wp:positionV relativeFrom="paragraph">
              <wp:posOffset>-1076960</wp:posOffset>
            </wp:positionV>
            <wp:extent cx="5687695" cy="8047355"/>
            <wp:effectExtent l="0" t="0" r="10795" b="8255"/>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rot="5400000">
                      <a:off x="0" y="0"/>
                      <a:ext cx="5687695" cy="8047355"/>
                    </a:xfrm>
                    <a:prstGeom prst="rect">
                      <a:avLst/>
                    </a:prstGeom>
                    <a:noFill/>
                    <a:ln w="9525">
                      <a:noFill/>
                    </a:ln>
                  </pic:spPr>
                </pic:pic>
              </a:graphicData>
            </a:graphic>
          </wp:anchor>
        </w:drawing>
      </w:r>
      <w:bookmarkEnd w:id="0"/>
    </w:p>
    <w:sectPr>
      <w:pgSz w:w="16838" w:h="11906" w:orient="landscape"/>
      <w:pgMar w:top="1474" w:right="2098" w:bottom="1474" w:left="1984"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3479"/>
    <w:rsid w:val="03B36503"/>
    <w:rsid w:val="3D351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5</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2026-05-11T08:50:30Z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